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方正粗黑宋简体"/>
          <w:b/>
          <w:bCs/>
          <w:sz w:val="36"/>
          <w:szCs w:val="40"/>
        </w:rPr>
      </w:pPr>
      <w:r>
        <w:rPr>
          <w:rFonts w:hint="eastAsia" w:ascii="黑体" w:hAnsi="黑体" w:eastAsia="黑体" w:cs="方正粗黑宋简体"/>
          <w:b/>
          <w:bCs/>
          <w:sz w:val="36"/>
          <w:szCs w:val="40"/>
          <w:lang w:val="en-US" w:eastAsia="zh-CN"/>
        </w:rPr>
        <w:t>附件3  近三年各</w:t>
      </w:r>
      <w:r>
        <w:rPr>
          <w:rFonts w:hint="eastAsia" w:ascii="黑体" w:hAnsi="黑体" w:eastAsia="黑体" w:cs="方正粗黑宋简体"/>
          <w:b/>
          <w:bCs/>
          <w:sz w:val="36"/>
          <w:szCs w:val="40"/>
        </w:rPr>
        <w:t>学院</w:t>
      </w:r>
      <w:r>
        <w:rPr>
          <w:rFonts w:hint="eastAsia" w:ascii="黑体" w:hAnsi="黑体" w:eastAsia="黑体" w:cs="方正粗黑宋简体"/>
          <w:b/>
          <w:bCs/>
          <w:sz w:val="36"/>
          <w:szCs w:val="40"/>
          <w:lang w:val="en-US" w:eastAsia="zh-CN"/>
        </w:rPr>
        <w:t>教学文档自查自纠清单一览表</w:t>
      </w:r>
    </w:p>
    <w:p>
      <w:pPr>
        <w:spacing w:line="360" w:lineRule="auto"/>
        <w:rPr>
          <w:rFonts w:ascii="黑体" w:hAnsi="黑体" w:eastAsia="黑体" w:cs="方正粗黑宋简体"/>
          <w:b/>
          <w:bCs/>
          <w:sz w:val="28"/>
          <w:szCs w:val="32"/>
        </w:rPr>
      </w:pPr>
    </w:p>
    <w:p>
      <w:pPr>
        <w:spacing w:line="360" w:lineRule="auto"/>
        <w:rPr>
          <w:rFonts w:ascii="仿宋" w:hAnsi="仿宋" w:eastAsia="仿宋" w:cs="方正粗黑宋简体"/>
          <w:b/>
          <w:bCs/>
          <w:sz w:val="28"/>
          <w:szCs w:val="32"/>
        </w:rPr>
      </w:pPr>
      <w:r>
        <w:rPr>
          <w:rFonts w:hint="eastAsia" w:ascii="仿宋" w:hAnsi="仿宋" w:eastAsia="仿宋" w:cs="方正粗黑宋简体"/>
          <w:b/>
          <w:bCs/>
          <w:sz w:val="28"/>
          <w:szCs w:val="32"/>
        </w:rPr>
        <w:t>一、课程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1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时间：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8"/>
        </w:rPr>
        <w:t>-202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8"/>
        </w:rPr>
        <w:t>(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8"/>
        </w:rPr>
        <w:t>)学期至2022-2023(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)学期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2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范围：</w:t>
      </w:r>
      <w:r>
        <w:rPr>
          <w:rFonts w:hint="eastAsia" w:ascii="仿宋" w:hAnsi="仿宋" w:eastAsia="仿宋"/>
          <w:sz w:val="24"/>
          <w:szCs w:val="28"/>
        </w:rPr>
        <w:t>列入培养方案的全部专业（包括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中本</w:t>
      </w:r>
      <w:r>
        <w:rPr>
          <w:rFonts w:hint="eastAsia" w:ascii="仿宋" w:hAnsi="仿宋" w:eastAsia="仿宋"/>
          <w:sz w:val="24"/>
          <w:szCs w:val="28"/>
        </w:rPr>
        <w:t>一体化专业、第二学士学位、微专业、中外合作办学专业、留学生）和各类实验班课程，以及第二课堂课程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3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负责单位：</w:t>
      </w:r>
      <w:r>
        <w:rPr>
          <w:rFonts w:hint="eastAsia" w:ascii="仿宋" w:hAnsi="仿宋" w:eastAsia="仿宋"/>
          <w:sz w:val="24"/>
          <w:szCs w:val="28"/>
        </w:rPr>
        <w:t>全校性通识必修课程</w:t>
      </w:r>
      <w:r>
        <w:rPr>
          <w:rFonts w:hint="eastAsia" w:ascii="仿宋" w:hAnsi="仿宋" w:eastAsia="仿宋"/>
          <w:sz w:val="24"/>
          <w:szCs w:val="28"/>
          <w:lang w:eastAsia="zh-CN"/>
        </w:rPr>
        <w:t>和通识选修课</w:t>
      </w:r>
      <w:r>
        <w:rPr>
          <w:rFonts w:hint="eastAsia" w:ascii="仿宋" w:hAnsi="仿宋" w:eastAsia="仿宋"/>
          <w:sz w:val="24"/>
          <w:szCs w:val="28"/>
        </w:rPr>
        <w:t>由开课学院负责检查</w:t>
      </w:r>
      <w:r>
        <w:rPr>
          <w:rFonts w:hint="eastAsia" w:ascii="仿宋" w:hAnsi="仿宋" w:eastAsia="仿宋"/>
          <w:sz w:val="24"/>
          <w:szCs w:val="28"/>
          <w:lang w:eastAsia="zh-CN"/>
        </w:rPr>
        <w:t>，</w:t>
      </w:r>
      <w:r>
        <w:rPr>
          <w:rFonts w:hint="eastAsia" w:ascii="仿宋" w:hAnsi="仿宋" w:eastAsia="仿宋"/>
          <w:sz w:val="24"/>
          <w:szCs w:val="28"/>
        </w:rPr>
        <w:t>其他通识选修课程由开课教师所在学院负责检查。学院开设的学科基础课和专业课由开课学院检查（交叉开设课程由开课学院检查并做好课程所在学院调阅的准备）。第二课堂由团委联合开课教师所在学院负责检查。</w:t>
      </w:r>
    </w:p>
    <w:p>
      <w:pPr>
        <w:spacing w:line="360" w:lineRule="auto"/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4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  <w:lang w:val="en-US" w:eastAsia="zh-CN"/>
        </w:rPr>
        <w:t>材料目录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清单</w:t>
      </w:r>
      <w:r>
        <w:rPr>
          <w:rFonts w:hint="eastAsia" w:ascii="仿宋" w:hAnsi="仿宋" w:eastAsia="仿宋"/>
          <w:b/>
          <w:bCs/>
          <w:sz w:val="24"/>
          <w:szCs w:val="28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检查课程教学大纲、</w:t>
      </w:r>
      <w:r>
        <w:rPr>
          <w:rFonts w:hint="eastAsia" w:ascii="仿宋" w:hAnsi="仿宋" w:eastAsia="仿宋"/>
          <w:sz w:val="24"/>
          <w:szCs w:val="28"/>
          <w:lang w:eastAsia="zh-CN"/>
        </w:rPr>
        <w:t>教学日历、</w:t>
      </w:r>
      <w:r>
        <w:rPr>
          <w:rFonts w:hint="eastAsia" w:ascii="仿宋" w:hAnsi="仿宋" w:eastAsia="仿宋"/>
          <w:sz w:val="24"/>
          <w:szCs w:val="28"/>
        </w:rPr>
        <w:t>教案、P</w:t>
      </w:r>
      <w:r>
        <w:rPr>
          <w:rFonts w:ascii="仿宋" w:hAnsi="仿宋" w:eastAsia="仿宋"/>
          <w:sz w:val="24"/>
          <w:szCs w:val="28"/>
        </w:rPr>
        <w:t>PT</w:t>
      </w:r>
      <w:r>
        <w:rPr>
          <w:rFonts w:hint="eastAsia" w:ascii="仿宋" w:hAnsi="仿宋" w:eastAsia="仿宋"/>
          <w:sz w:val="24"/>
          <w:szCs w:val="28"/>
        </w:rPr>
        <w:t xml:space="preserve"> 、教材（本学期的课程应明确每节课的授课教师；</w:t>
      </w:r>
      <w:r>
        <w:rPr>
          <w:rFonts w:ascii="仿宋" w:hAnsi="仿宋" w:eastAsia="仿宋"/>
          <w:sz w:val="24"/>
          <w:szCs w:val="28"/>
        </w:rPr>
        <w:t>课程思政进大纲、进教</w:t>
      </w:r>
      <w:r>
        <w:rPr>
          <w:rFonts w:hint="eastAsia" w:ascii="仿宋" w:hAnsi="仿宋" w:eastAsia="仿宋"/>
          <w:sz w:val="24"/>
          <w:szCs w:val="28"/>
        </w:rPr>
        <w:t>案；大纲等如有修订的，应提供不同版本）；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检查教学大纲里规定的过程性考核环节资料，包括：单元测验、期中考试、课堂测验大作业、实验报告、课后作业等（各种材料准备优、良、中、及格各2份 ）；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检查按课程教学大纲执行的课程总分给定情况（是否按照教学大纲执行，过程性考核评定表，期末考试占比是否符合规定）；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检查正考、补考、重修课程、免修考试试卷等（包括：出题审批、标准答案、评分标准，批改痕迹；清点试卷数量，批错要有教师签名，批改要有小分）；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检查试卷的难度（填空、判断、选择和简答的比例，分析问题解决问题的比例；如果试卷不符合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应用</w:t>
      </w:r>
      <w:r>
        <w:rPr>
          <w:rFonts w:hint="eastAsia" w:ascii="仿宋" w:hAnsi="仿宋" w:eastAsia="仿宋"/>
          <w:sz w:val="24"/>
          <w:szCs w:val="28"/>
        </w:rPr>
        <w:t>性要求，应说明情况）；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8"/>
        </w:rPr>
        <w:t>检查课程考核评价分析表，如质量分析表、达成度分析表等；（表中相应的教师、学院签名处应有签名；评价分析内容要详实，需要有下一步改进措施）。</w:t>
      </w:r>
    </w:p>
    <w:p>
      <w:pPr>
        <w:spacing w:line="360" w:lineRule="auto"/>
        <w:rPr>
          <w:rFonts w:ascii="仿宋" w:hAnsi="仿宋" w:eastAsia="仿宋" w:cs="方正粗黑宋简体"/>
          <w:b/>
          <w:bCs/>
          <w:sz w:val="28"/>
          <w:szCs w:val="32"/>
        </w:rPr>
      </w:pPr>
      <w:r>
        <w:rPr>
          <w:rFonts w:hint="eastAsia" w:ascii="仿宋" w:hAnsi="仿宋" w:eastAsia="仿宋" w:cs="方正粗黑宋简体"/>
          <w:b/>
          <w:bCs/>
          <w:sz w:val="28"/>
          <w:szCs w:val="32"/>
        </w:rPr>
        <w:t>二、实验</w:t>
      </w:r>
    </w:p>
    <w:p>
      <w:pPr>
        <w:spacing w:line="360" w:lineRule="auto"/>
        <w:rPr>
          <w:rFonts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1</w:t>
      </w:r>
      <w:r>
        <w:rPr>
          <w:rFonts w:ascii="仿宋" w:hAnsi="仿宋" w:eastAsia="仿宋" w:cs="方正粗黑宋简体"/>
          <w:b/>
          <w:bCs/>
          <w:color w:val="auto"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时间：</w:t>
      </w:r>
      <w:r>
        <w:rPr>
          <w:rFonts w:hint="eastAsia" w:ascii="仿宋" w:hAnsi="仿宋" w:eastAsia="仿宋"/>
          <w:color w:val="auto"/>
          <w:sz w:val="24"/>
          <w:szCs w:val="28"/>
        </w:rPr>
        <w:t>20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24"/>
          <w:szCs w:val="28"/>
        </w:rPr>
        <w:t>-202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8"/>
        </w:rPr>
        <w:t>(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8"/>
        </w:rPr>
        <w:t>)学期至2022-2023(</w:t>
      </w:r>
      <w:r>
        <w:rPr>
          <w:rFonts w:ascii="仿宋" w:hAnsi="仿宋" w:eastAsia="仿宋"/>
          <w:color w:val="auto"/>
          <w:sz w:val="24"/>
          <w:szCs w:val="28"/>
        </w:rPr>
        <w:t>2</w:t>
      </w:r>
      <w:r>
        <w:rPr>
          <w:rFonts w:hint="eastAsia" w:ascii="仿宋" w:hAnsi="仿宋" w:eastAsia="仿宋"/>
          <w:color w:val="auto"/>
          <w:sz w:val="24"/>
          <w:szCs w:val="28"/>
        </w:rPr>
        <w:t>)学期</w:t>
      </w:r>
    </w:p>
    <w:p>
      <w:pPr>
        <w:spacing w:line="360" w:lineRule="auto"/>
        <w:rPr>
          <w:rFonts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2</w:t>
      </w:r>
      <w:r>
        <w:rPr>
          <w:rFonts w:ascii="仿宋" w:hAnsi="仿宋" w:eastAsia="仿宋" w:cs="方正粗黑宋简体"/>
          <w:b/>
          <w:bCs/>
          <w:color w:val="auto"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范围：</w:t>
      </w:r>
      <w:r>
        <w:rPr>
          <w:rFonts w:hint="eastAsia" w:ascii="仿宋" w:hAnsi="仿宋" w:eastAsia="仿宋"/>
          <w:color w:val="auto"/>
          <w:sz w:val="24"/>
          <w:szCs w:val="28"/>
        </w:rPr>
        <w:t>列入培养方案的全部实验课程</w:t>
      </w:r>
    </w:p>
    <w:p>
      <w:pPr>
        <w:spacing w:line="360" w:lineRule="auto"/>
        <w:rPr>
          <w:rFonts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3</w:t>
      </w:r>
      <w:r>
        <w:rPr>
          <w:rFonts w:ascii="仿宋" w:hAnsi="仿宋" w:eastAsia="仿宋" w:cs="方正粗黑宋简体"/>
          <w:b/>
          <w:bCs/>
          <w:color w:val="auto"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负责单位：</w:t>
      </w:r>
      <w:r>
        <w:rPr>
          <w:rFonts w:hint="eastAsia" w:ascii="仿宋" w:hAnsi="仿宋" w:eastAsia="仿宋"/>
          <w:color w:val="auto"/>
          <w:sz w:val="24"/>
          <w:szCs w:val="28"/>
        </w:rPr>
        <w:t>由开课学院检查（交叉开设课程由开课学院检查并做好课程所在学院调阅的准备）。</w:t>
      </w:r>
    </w:p>
    <w:p>
      <w:pPr>
        <w:spacing w:line="360" w:lineRule="auto"/>
        <w:rPr>
          <w:rFonts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4</w:t>
      </w:r>
      <w:r>
        <w:rPr>
          <w:rFonts w:ascii="仿宋" w:hAnsi="仿宋" w:eastAsia="仿宋" w:cs="方正粗黑宋简体"/>
          <w:b/>
          <w:bCs/>
          <w:color w:val="auto"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color w:val="auto"/>
          <w:sz w:val="24"/>
          <w:szCs w:val="28"/>
        </w:rPr>
        <w:t>自查自纠清单</w:t>
      </w:r>
      <w:r>
        <w:rPr>
          <w:rFonts w:hint="eastAsia" w:ascii="仿宋" w:hAnsi="仿宋" w:eastAsia="仿宋"/>
          <w:color w:val="auto"/>
          <w:sz w:val="24"/>
          <w:szCs w:val="28"/>
        </w:rPr>
        <w:t>：</w:t>
      </w:r>
    </w:p>
    <w:p>
      <w:pPr>
        <w:spacing w:line="360" w:lineRule="auto"/>
        <w:ind w:left="600" w:hanging="600" w:hangingChars="250"/>
        <w:rPr>
          <w:rFonts w:hint="eastAsia" w:ascii="仿宋" w:hAnsi="仿宋" w:eastAsia="仿宋"/>
          <w:color w:val="auto"/>
          <w:sz w:val="24"/>
          <w:szCs w:val="28"/>
        </w:rPr>
      </w:pPr>
      <w:r>
        <w:rPr>
          <w:rFonts w:hint="eastAsia" w:ascii="仿宋" w:hAnsi="仿宋" w:eastAsia="仿宋"/>
          <w:color w:val="auto"/>
          <w:sz w:val="24"/>
          <w:szCs w:val="28"/>
        </w:rPr>
        <w:t>（1）检查实验教学大纲、实验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任务</w:t>
      </w:r>
      <w:r>
        <w:rPr>
          <w:rFonts w:hint="eastAsia" w:ascii="仿宋" w:hAnsi="仿宋" w:eastAsia="仿宋"/>
          <w:color w:val="auto"/>
          <w:sz w:val="24"/>
          <w:szCs w:val="28"/>
        </w:rPr>
        <w:t>书</w:t>
      </w:r>
      <w:r>
        <w:rPr>
          <w:rFonts w:hint="eastAsia" w:ascii="仿宋" w:hAnsi="仿宋" w:eastAsia="仿宋"/>
          <w:color w:val="auto"/>
          <w:sz w:val="24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8"/>
        </w:rPr>
        <w:t>检查实验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周课表</w:t>
      </w:r>
      <w:r>
        <w:rPr>
          <w:rFonts w:hint="eastAsia" w:ascii="仿宋" w:hAnsi="仿宋" w:eastAsia="仿宋"/>
          <w:color w:val="auto"/>
          <w:sz w:val="24"/>
          <w:szCs w:val="28"/>
        </w:rPr>
        <w:t>（实验类型和难度；是否支撑培养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应用</w:t>
      </w:r>
      <w:r>
        <w:rPr>
          <w:rFonts w:hint="eastAsia" w:ascii="仿宋" w:hAnsi="仿宋" w:eastAsia="仿宋"/>
          <w:color w:val="auto"/>
          <w:sz w:val="24"/>
          <w:szCs w:val="28"/>
        </w:rPr>
        <w:t>型人才）；</w:t>
      </w:r>
    </w:p>
    <w:p>
      <w:pPr>
        <w:spacing w:line="360" w:lineRule="auto"/>
        <w:ind w:left="600" w:hanging="600" w:hangingChars="250"/>
        <w:rPr>
          <w:rFonts w:hint="eastAsia" w:ascii="仿宋" w:hAnsi="仿宋" w:eastAsia="仿宋"/>
          <w:color w:val="auto"/>
          <w:sz w:val="24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8"/>
        </w:rPr>
        <w:t>实验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教学日志</w:t>
      </w:r>
      <w:r>
        <w:rPr>
          <w:rFonts w:hint="eastAsia" w:ascii="仿宋" w:hAnsi="仿宋" w:eastAsia="仿宋"/>
          <w:color w:val="auto"/>
          <w:sz w:val="24"/>
          <w:szCs w:val="28"/>
        </w:rPr>
        <w:t>记录。</w:t>
      </w:r>
      <w:r>
        <w:rPr>
          <w:rFonts w:hint="eastAsia" w:ascii="仿宋" w:hAnsi="仿宋" w:eastAsia="仿宋"/>
          <w:color w:val="auto"/>
          <w:sz w:val="24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8"/>
        </w:rPr>
        <w:t>每个实验均有</w:t>
      </w:r>
      <w:r>
        <w:rPr>
          <w:rFonts w:hint="eastAsia" w:ascii="仿宋" w:hAnsi="仿宋" w:eastAsia="仿宋"/>
          <w:color w:val="auto"/>
          <w:sz w:val="24"/>
          <w:szCs w:val="28"/>
          <w:lang w:val="en-US" w:eastAsia="zh-CN"/>
        </w:rPr>
        <w:t>记录</w:t>
      </w:r>
      <w:r>
        <w:rPr>
          <w:rFonts w:hint="eastAsia" w:ascii="仿宋" w:hAnsi="仿宋" w:eastAsia="仿宋"/>
          <w:color w:val="auto"/>
          <w:sz w:val="24"/>
          <w:szCs w:val="28"/>
          <w:lang w:eastAsia="zh-CN"/>
        </w:rPr>
        <w:t>）</w:t>
      </w:r>
    </w:p>
    <w:p>
      <w:pPr>
        <w:spacing w:line="360" w:lineRule="auto"/>
        <w:ind w:left="600" w:hanging="600" w:hangingChars="25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8"/>
        </w:rPr>
        <w:t>）检查实验报告（每个实验均有实验报告；清点报告数量，要有批改痕迹）；</w:t>
      </w:r>
    </w:p>
    <w:p>
      <w:pPr>
        <w:spacing w:line="360" w:lineRule="auto"/>
        <w:rPr>
          <w:rFonts w:ascii="仿宋" w:hAnsi="仿宋" w:eastAsia="仿宋" w:cs="方正粗黑宋简体"/>
          <w:b/>
          <w:bCs/>
          <w:sz w:val="28"/>
          <w:szCs w:val="32"/>
        </w:rPr>
      </w:pPr>
      <w:r>
        <w:rPr>
          <w:rFonts w:hint="eastAsia" w:ascii="仿宋" w:hAnsi="仿宋" w:eastAsia="仿宋" w:cs="方正粗黑宋简体"/>
          <w:b/>
          <w:bCs/>
          <w:sz w:val="28"/>
          <w:szCs w:val="32"/>
        </w:rPr>
        <w:t>三、实习与实训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 w:cs="方正粗黑宋简体"/>
          <w:b/>
          <w:bCs/>
          <w:sz w:val="24"/>
          <w:szCs w:val="28"/>
        </w:rPr>
        <w:t>1.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时间：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8"/>
        </w:rPr>
        <w:t>-202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8"/>
        </w:rPr>
        <w:t>(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8"/>
        </w:rPr>
        <w:t>)学期至2022-2023(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)学期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2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范围：</w:t>
      </w:r>
      <w:r>
        <w:rPr>
          <w:rFonts w:hint="eastAsia" w:ascii="仿宋" w:hAnsi="仿宋" w:eastAsia="仿宋"/>
          <w:sz w:val="24"/>
          <w:szCs w:val="28"/>
        </w:rPr>
        <w:t>列入培养方案的全部实习环节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3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负责单位：</w:t>
      </w:r>
      <w:r>
        <w:rPr>
          <w:rFonts w:hint="eastAsia" w:ascii="仿宋" w:hAnsi="仿宋" w:eastAsia="仿宋"/>
          <w:sz w:val="24"/>
          <w:szCs w:val="28"/>
        </w:rPr>
        <w:t>由开课学院检查（交叉开设课程由开课学院检查并做好课程所在学院调阅的准备）。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4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自查自纠清单</w:t>
      </w:r>
      <w:r>
        <w:rPr>
          <w:rFonts w:hint="eastAsia" w:ascii="仿宋" w:hAnsi="仿宋" w:eastAsia="仿宋"/>
          <w:sz w:val="24"/>
          <w:szCs w:val="28"/>
        </w:rPr>
        <w:t>：</w:t>
      </w:r>
    </w:p>
    <w:p>
      <w:pPr>
        <w:spacing w:line="360" w:lineRule="auto"/>
        <w:ind w:left="600" w:hanging="600" w:hangingChars="250"/>
        <w:rPr>
          <w:rFonts w:hint="eastAsia" w:ascii="仿宋" w:hAnsi="仿宋" w:eastAsia="仿宋" w:cs="方正粗黑宋简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粗黑宋简体"/>
          <w:sz w:val="24"/>
          <w:szCs w:val="28"/>
        </w:rPr>
        <w:t>（1）对照近三年的实践基地，核查校外实习实践基地清单，提供每个基地的协议书，核实清单中实习基地参与学生的数量，学生到基地实习的次数，和</w:t>
      </w:r>
      <w:r>
        <w:rPr>
          <w:rFonts w:hint="eastAsia" w:ascii="仿宋" w:hAnsi="仿宋" w:eastAsia="仿宋" w:cs="方正粗黑宋简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实习效果;</w:t>
      </w:r>
    </w:p>
    <w:p>
      <w:pPr>
        <w:spacing w:line="360" w:lineRule="auto"/>
        <w:ind w:left="600" w:hanging="600" w:hangingChars="25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（2）检查</w:t>
      </w:r>
      <w:r>
        <w:rPr>
          <w:rFonts w:hint="eastAsia" w:ascii="仿宋" w:hAnsi="仿宋" w:eastAsia="仿宋"/>
          <w:b w:val="0"/>
          <w:bCs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实习大纲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方正粗黑宋简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实习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；是否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符合本科高质量人才培养要求、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支撑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培养应用型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left="600" w:hanging="600" w:hangingChars="250"/>
        <w:jc w:val="left"/>
        <w:rPr>
          <w:rFonts w:hint="default" w:ascii="仿宋" w:hAnsi="仿宋" w:eastAsia="仿宋"/>
          <w:color w:val="000000" w:themeColor="text1"/>
          <w:sz w:val="24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）检查实习报告、</w:t>
      </w:r>
      <w:r>
        <w:rPr>
          <w:rFonts w:hint="eastAsia" w:ascii="仿宋" w:hAnsi="仿宋" w:eastAsia="仿宋" w:cs="方正粗黑宋简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实习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检查表</w:t>
      </w:r>
      <w:r>
        <w:rPr>
          <w:rFonts w:hint="eastAsia" w:ascii="仿宋" w:hAnsi="仿宋" w:eastAsia="仿宋" w:cs="方正粗黑宋简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、实习情况评价</w:t>
      </w:r>
      <w:r>
        <w:rPr>
          <w:rFonts w:hint="eastAsia" w:ascii="仿宋" w:hAnsi="仿宋" w:eastAsia="仿宋" w:cs="方正粗黑宋简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（清点报告数量，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检查评价内容）</w:t>
      </w:r>
    </w:p>
    <w:p>
      <w:pPr>
        <w:numPr>
          <w:ilvl w:val="0"/>
          <w:numId w:val="2"/>
        </w:numPr>
        <w:spacing w:line="360" w:lineRule="auto"/>
        <w:ind w:left="600" w:leftChars="0" w:hanging="600" w:hangingChars="25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校内实践基地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运行情况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学生参与情况）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）每个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准备两个杭州市内或周边的实习基地以备进校专家走访。</w:t>
      </w:r>
    </w:p>
    <w:p>
      <w:pPr>
        <w:spacing w:line="360" w:lineRule="auto"/>
        <w:rPr>
          <w:rFonts w:ascii="仿宋" w:hAnsi="仿宋" w:eastAsia="仿宋" w:cs="方正粗黑宋简体"/>
          <w:b/>
          <w:bCs/>
          <w:sz w:val="28"/>
          <w:szCs w:val="32"/>
        </w:rPr>
      </w:pPr>
      <w:r>
        <w:rPr>
          <w:rFonts w:hint="eastAsia" w:ascii="仿宋" w:hAnsi="仿宋" w:eastAsia="仿宋" w:cs="方正粗黑宋简体"/>
          <w:b/>
          <w:bCs/>
          <w:sz w:val="28"/>
          <w:szCs w:val="32"/>
        </w:rPr>
        <w:t>四、课程设计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1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时间：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8"/>
        </w:rPr>
        <w:t>-202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8"/>
        </w:rPr>
        <w:t>(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8"/>
        </w:rPr>
        <w:t>)学期至2022-2023(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)学期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2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范围：</w:t>
      </w:r>
      <w:r>
        <w:rPr>
          <w:rFonts w:hint="eastAsia" w:ascii="仿宋" w:hAnsi="仿宋" w:eastAsia="仿宋"/>
          <w:sz w:val="24"/>
          <w:szCs w:val="28"/>
        </w:rPr>
        <w:t>所有在该期间完成的课程设计</w:t>
      </w:r>
    </w:p>
    <w:p>
      <w:pPr>
        <w:spacing w:line="360" w:lineRule="auto"/>
        <w:rPr>
          <w:rFonts w:hint="eastAsia" w:ascii="仿宋" w:hAnsi="仿宋" w:eastAsia="仿宋"/>
          <w:sz w:val="24"/>
          <w:szCs w:val="28"/>
          <w:lang w:eastAsia="zh-CN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3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负责单位：</w:t>
      </w:r>
      <w:r>
        <w:rPr>
          <w:rFonts w:hint="eastAsia" w:ascii="仿宋" w:hAnsi="仿宋" w:eastAsia="仿宋"/>
          <w:sz w:val="24"/>
          <w:szCs w:val="28"/>
        </w:rPr>
        <w:t>由开课学院检查（交叉开设课程由开课学院检查并做好课程所在学院调阅的准备）</w:t>
      </w:r>
      <w:r>
        <w:rPr>
          <w:rFonts w:hint="eastAsia" w:ascii="仿宋" w:hAnsi="仿宋" w:eastAsia="仿宋"/>
          <w:sz w:val="24"/>
          <w:szCs w:val="28"/>
          <w:lang w:eastAsia="zh-CN"/>
        </w:rPr>
        <w:t>；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4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自查自纠清单</w:t>
      </w:r>
      <w:r>
        <w:rPr>
          <w:rFonts w:hint="eastAsia" w:ascii="仿宋" w:hAnsi="仿宋" w:eastAsia="仿宋"/>
          <w:sz w:val="24"/>
          <w:szCs w:val="28"/>
        </w:rPr>
        <w:t>：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检查课程设计教学大纲、</w:t>
      </w:r>
      <w:r>
        <w:rPr>
          <w:rFonts w:hint="eastAsia" w:ascii="仿宋" w:hAnsi="仿宋" w:eastAsia="仿宋"/>
          <w:sz w:val="24"/>
          <w:szCs w:val="28"/>
          <w:lang w:eastAsia="zh-CN"/>
        </w:rPr>
        <w:t>教学日历</w:t>
      </w:r>
      <w:r>
        <w:rPr>
          <w:rFonts w:hint="eastAsia" w:ascii="仿宋" w:hAnsi="仿宋" w:eastAsia="仿宋"/>
          <w:sz w:val="24"/>
          <w:szCs w:val="28"/>
        </w:rPr>
        <w:t>，大纲等如有修订的，应提供不同版本；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检查课程设计数量，是否有批改痕迹；每个学生完成的课程设计的全套资料是否齐全；是否体现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应用型</w:t>
      </w:r>
      <w:r>
        <w:rPr>
          <w:rFonts w:hint="eastAsia" w:ascii="仿宋" w:hAnsi="仿宋" w:eastAsia="仿宋"/>
          <w:sz w:val="24"/>
          <w:szCs w:val="28"/>
        </w:rPr>
        <w:t>人才的培养</w:t>
      </w:r>
      <w:r>
        <w:rPr>
          <w:rFonts w:hint="eastAsia" w:ascii="仿宋" w:hAnsi="仿宋" w:eastAsia="仿宋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ascii="仿宋" w:hAnsi="仿宋" w:eastAsia="仿宋" w:cs="方正粗黑宋简体"/>
          <w:b/>
          <w:bCs/>
          <w:sz w:val="28"/>
          <w:szCs w:val="32"/>
        </w:rPr>
      </w:pPr>
      <w:r>
        <w:rPr>
          <w:rFonts w:hint="eastAsia" w:ascii="仿宋" w:hAnsi="仿宋" w:eastAsia="仿宋" w:cs="方正粗黑宋简体"/>
          <w:b/>
          <w:bCs/>
          <w:sz w:val="28"/>
          <w:szCs w:val="32"/>
        </w:rPr>
        <w:t>五、毕业设计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1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时间：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8"/>
        </w:rPr>
        <w:t>-202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8"/>
        </w:rPr>
        <w:t>(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8"/>
        </w:rPr>
        <w:t>)学期至2022-2023(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)学期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2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范围：</w:t>
      </w:r>
      <w:r>
        <w:rPr>
          <w:rFonts w:hint="eastAsia" w:ascii="仿宋" w:hAnsi="仿宋" w:eastAsia="仿宋"/>
          <w:sz w:val="24"/>
          <w:szCs w:val="28"/>
        </w:rPr>
        <w:t>所有在该期间完成的毕业设计（论文）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3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负责单位：</w:t>
      </w:r>
      <w:r>
        <w:rPr>
          <w:rFonts w:hint="eastAsia" w:ascii="仿宋" w:hAnsi="仿宋" w:eastAsia="仿宋"/>
          <w:sz w:val="24"/>
          <w:szCs w:val="28"/>
        </w:rPr>
        <w:t>由开课学院检查（交叉开设课程由开课学院检查并做好课程所在学院调阅的准备）。</w:t>
      </w:r>
    </w:p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4</w:t>
      </w:r>
      <w:r>
        <w:rPr>
          <w:rFonts w:ascii="仿宋" w:hAnsi="仿宋" w:eastAsia="仿宋" w:cs="方正粗黑宋简体"/>
          <w:b/>
          <w:bCs/>
          <w:sz w:val="24"/>
          <w:szCs w:val="28"/>
        </w:rPr>
        <w:t>.</w:t>
      </w:r>
      <w:r>
        <w:rPr>
          <w:rFonts w:hint="eastAsia" w:ascii="仿宋" w:hAnsi="仿宋" w:eastAsia="仿宋" w:cs="方正粗黑宋简体"/>
          <w:b/>
          <w:bCs/>
          <w:sz w:val="24"/>
          <w:szCs w:val="28"/>
        </w:rPr>
        <w:t>自查自纠清单</w:t>
      </w:r>
      <w:r>
        <w:rPr>
          <w:rFonts w:hint="eastAsia" w:ascii="仿宋" w:hAnsi="仿宋" w:eastAsia="仿宋"/>
          <w:sz w:val="24"/>
          <w:szCs w:val="28"/>
        </w:rPr>
        <w:t>：</w:t>
      </w:r>
    </w:p>
    <w:p>
      <w:pPr>
        <w:spacing w:line="360" w:lineRule="auto"/>
        <w:ind w:left="600" w:hanging="600" w:hangingChars="25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（1）核查上报教务处的近三年本科生毕业论文（设计）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课题汇总表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数量是否准确，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题目是否完全一致；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（2）检查毕业设计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大纲、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工作计划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（毕业设计题目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来源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，是否体现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本科高质量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人才的培养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spacing w:line="500" w:lineRule="exact"/>
        <w:ind w:left="600" w:hanging="600" w:hangingChars="250"/>
        <w:rPr>
          <w:rFonts w:hint="eastAsia" w:ascii="仿宋" w:hAnsi="仿宋" w:eastAsia="仿宋"/>
          <w:b/>
          <w:bCs/>
          <w:sz w:val="28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（3）检查每个学生的毕业设计（论文）正文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及过程管理材料（如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文献综述、外文翻译、开题报告、任务书、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中期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教学检查表、查重记录、工作记录卡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、工作指导卡、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指导教师评语表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评阅教师评语表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答辩记录表等要求的材料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是否齐全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，确保留有电子档备份。（文献综述的引用文献数；外文翻译的准确率；各个表中签名处应有对应的签名）</w:t>
      </w:r>
      <w:r>
        <w:rPr>
          <w:rFonts w:hint="eastAsia" w:ascii="仿宋" w:hAnsi="仿宋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六、其它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（1）学院审核评估的领导机构和工作小组（文件）；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（2）学院的教学组织架构和成员、督导机构、基层教学组织（文件）；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（3</w:t>
      </w:r>
      <w:r>
        <w:rPr>
          <w:rFonts w:ascii="仿宋" w:hAnsi="仿宋" w:eastAsia="仿宋"/>
          <w:sz w:val="24"/>
          <w:szCs w:val="28"/>
        </w:rPr>
        <w:t>）</w:t>
      </w:r>
      <w:r>
        <w:rPr>
          <w:rFonts w:hint="eastAsia" w:ascii="仿宋" w:hAnsi="仿宋" w:eastAsia="仿宋"/>
          <w:sz w:val="24"/>
          <w:szCs w:val="28"/>
        </w:rPr>
        <w:t>学院的教学管理文件和制度；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（4）近三年学院领导的听课记录，特别是本学期领导听课的记录以及对问题课程的整改；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（5）近三年学院党政联席会议讨论本科教学事宜的记录；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6</w:t>
      </w:r>
      <w:r>
        <w:rPr>
          <w:rFonts w:hint="eastAsia" w:ascii="仿宋" w:hAnsi="仿宋" w:eastAsia="仿宋"/>
          <w:sz w:val="24"/>
          <w:szCs w:val="28"/>
        </w:rPr>
        <w:t>）学院在审核评估指标体系中的特色和亮点的凝炼，以及不足之处；</w:t>
      </w:r>
    </w:p>
    <w:p>
      <w:pPr>
        <w:spacing w:line="360" w:lineRule="auto"/>
        <w:ind w:left="600" w:hanging="600" w:hangingChars="25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（7）自评报告的支撑材料。</w:t>
      </w:r>
    </w:p>
    <w:p>
      <w:pPr>
        <w:spacing w:line="360" w:lineRule="auto"/>
        <w:ind w:firstLine="6000" w:firstLineChars="2500"/>
        <w:rPr>
          <w:rFonts w:ascii="仿宋" w:hAnsi="仿宋" w:eastAsia="仿宋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607E74-A7DF-4732-845C-3201103476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0DFBE79-E83F-44E9-973C-E59DB1A5C7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9834A88-3210-4E2D-A234-F7D607B2B2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282F2"/>
    <w:multiLevelType w:val="singleLevel"/>
    <w:tmpl w:val="906282F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53373EE"/>
    <w:multiLevelType w:val="singleLevel"/>
    <w:tmpl w:val="F53373EE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142217A0"/>
    <w:multiLevelType w:val="multilevel"/>
    <w:tmpl w:val="142217A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zMmEyODgxOWZlYTg1YjMwYTRmYWFiYmU1NTJmMzcifQ=="/>
  </w:docVars>
  <w:rsids>
    <w:rsidRoot w:val="2C543D1F"/>
    <w:rsid w:val="00034434"/>
    <w:rsid w:val="00060621"/>
    <w:rsid w:val="000607A2"/>
    <w:rsid w:val="000937B1"/>
    <w:rsid w:val="000F01B1"/>
    <w:rsid w:val="001354E9"/>
    <w:rsid w:val="0019613E"/>
    <w:rsid w:val="001D551E"/>
    <w:rsid w:val="001E753D"/>
    <w:rsid w:val="001F4AC0"/>
    <w:rsid w:val="00225AB5"/>
    <w:rsid w:val="002369B8"/>
    <w:rsid w:val="002707B6"/>
    <w:rsid w:val="002C7023"/>
    <w:rsid w:val="003070C3"/>
    <w:rsid w:val="00321C2C"/>
    <w:rsid w:val="00346475"/>
    <w:rsid w:val="00346BB9"/>
    <w:rsid w:val="00346DFE"/>
    <w:rsid w:val="00372C78"/>
    <w:rsid w:val="003F7551"/>
    <w:rsid w:val="00412F68"/>
    <w:rsid w:val="0043166C"/>
    <w:rsid w:val="00485F3D"/>
    <w:rsid w:val="004C37E0"/>
    <w:rsid w:val="004C5678"/>
    <w:rsid w:val="004D2641"/>
    <w:rsid w:val="004D7144"/>
    <w:rsid w:val="004F18BF"/>
    <w:rsid w:val="00540278"/>
    <w:rsid w:val="005D3831"/>
    <w:rsid w:val="00630149"/>
    <w:rsid w:val="00642140"/>
    <w:rsid w:val="00735F19"/>
    <w:rsid w:val="00736297"/>
    <w:rsid w:val="00754987"/>
    <w:rsid w:val="0079006B"/>
    <w:rsid w:val="007B5B1D"/>
    <w:rsid w:val="008020D1"/>
    <w:rsid w:val="00817901"/>
    <w:rsid w:val="00831E7C"/>
    <w:rsid w:val="008C6129"/>
    <w:rsid w:val="008D4EFB"/>
    <w:rsid w:val="00911F49"/>
    <w:rsid w:val="00915E67"/>
    <w:rsid w:val="00931830"/>
    <w:rsid w:val="00957E07"/>
    <w:rsid w:val="0096100E"/>
    <w:rsid w:val="00992EAD"/>
    <w:rsid w:val="009D5BC5"/>
    <w:rsid w:val="009D6BD1"/>
    <w:rsid w:val="00A12930"/>
    <w:rsid w:val="00A22333"/>
    <w:rsid w:val="00A46561"/>
    <w:rsid w:val="00AA395D"/>
    <w:rsid w:val="00AD478A"/>
    <w:rsid w:val="00AF4441"/>
    <w:rsid w:val="00B0094C"/>
    <w:rsid w:val="00B15044"/>
    <w:rsid w:val="00B17B38"/>
    <w:rsid w:val="00B27272"/>
    <w:rsid w:val="00B354CA"/>
    <w:rsid w:val="00B924E7"/>
    <w:rsid w:val="00B94F5F"/>
    <w:rsid w:val="00BB2E4B"/>
    <w:rsid w:val="00BD2ED8"/>
    <w:rsid w:val="00BE072D"/>
    <w:rsid w:val="00C05C1A"/>
    <w:rsid w:val="00C13B8C"/>
    <w:rsid w:val="00C25D56"/>
    <w:rsid w:val="00C5264D"/>
    <w:rsid w:val="00C658F2"/>
    <w:rsid w:val="00CF26C3"/>
    <w:rsid w:val="00D16D23"/>
    <w:rsid w:val="00D47786"/>
    <w:rsid w:val="00D5698D"/>
    <w:rsid w:val="00DB29A6"/>
    <w:rsid w:val="00DB4FDB"/>
    <w:rsid w:val="00DB760C"/>
    <w:rsid w:val="00DC5B62"/>
    <w:rsid w:val="00DC67CD"/>
    <w:rsid w:val="00E05F52"/>
    <w:rsid w:val="00E10F52"/>
    <w:rsid w:val="00E1449F"/>
    <w:rsid w:val="00E35546"/>
    <w:rsid w:val="00E44A9D"/>
    <w:rsid w:val="00E57F6F"/>
    <w:rsid w:val="00E65F3E"/>
    <w:rsid w:val="00E77DFE"/>
    <w:rsid w:val="00E94CE4"/>
    <w:rsid w:val="00EB3418"/>
    <w:rsid w:val="00EC58CE"/>
    <w:rsid w:val="00F07434"/>
    <w:rsid w:val="00F22D36"/>
    <w:rsid w:val="00F75A8A"/>
    <w:rsid w:val="00FC6EFE"/>
    <w:rsid w:val="00FE28D4"/>
    <w:rsid w:val="00FF76A5"/>
    <w:rsid w:val="00FF79A3"/>
    <w:rsid w:val="05415F7B"/>
    <w:rsid w:val="0B61483B"/>
    <w:rsid w:val="10776745"/>
    <w:rsid w:val="11380EA0"/>
    <w:rsid w:val="15FE1470"/>
    <w:rsid w:val="18707A18"/>
    <w:rsid w:val="1AB646BD"/>
    <w:rsid w:val="22441118"/>
    <w:rsid w:val="2C543D1F"/>
    <w:rsid w:val="3890658C"/>
    <w:rsid w:val="39485BBC"/>
    <w:rsid w:val="3E6050F7"/>
    <w:rsid w:val="4493196E"/>
    <w:rsid w:val="48C26B67"/>
    <w:rsid w:val="523301EB"/>
    <w:rsid w:val="5860602D"/>
    <w:rsid w:val="5F6E2296"/>
    <w:rsid w:val="665F274C"/>
    <w:rsid w:val="6B3F00B7"/>
    <w:rsid w:val="72200D70"/>
    <w:rsid w:val="75A44DED"/>
    <w:rsid w:val="771E384F"/>
    <w:rsid w:val="776C14F0"/>
    <w:rsid w:val="78B20F1D"/>
    <w:rsid w:val="7A236A88"/>
    <w:rsid w:val="7EA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85AC-C3D3-4397-BD26-D6D1993EF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2368</Words>
  <Characters>2502</Characters>
  <Lines>17</Lines>
  <Paragraphs>4</Paragraphs>
  <TotalTime>1</TotalTime>
  <ScaleCrop>false</ScaleCrop>
  <LinksUpToDate>false</LinksUpToDate>
  <CharactersWithSpaces>2504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2023-06-27T02:21:00Z</dcterms:created>
  <dc:creator>13958027279</dc:creator>
  <cp:lastModifiedBy>忆</cp:lastModifiedBy>
  <dcterms:modified xsi:type="dcterms:W3CDTF">2023-10-07T08:30:16Z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83D2C68E8FB749348453C453538F267C</vt:lpwstr>
  </property>
</Properties>
</file>