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40" w:lineRule="exact"/>
        <w:jc w:val="center"/>
        <w:rPr>
          <w:rFonts w:ascii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关于对全校</w:t>
      </w:r>
      <w:r>
        <w:rPr>
          <w:rFonts w:ascii="宋体" w:hAnsi="宋体" w:cs="宋体"/>
          <w:b/>
          <w:bCs/>
          <w:sz w:val="32"/>
          <w:szCs w:val="32"/>
        </w:rPr>
        <w:t>66</w:t>
      </w:r>
      <w:r>
        <w:rPr>
          <w:rFonts w:hint="eastAsia" w:ascii="宋体" w:hAnsi="宋体" w:cs="宋体"/>
          <w:b/>
          <w:bCs/>
          <w:sz w:val="32"/>
          <w:szCs w:val="32"/>
        </w:rPr>
        <w:t>门课程考核质量抽查情况的通报</w:t>
      </w:r>
    </w:p>
    <w:p>
      <w:pPr>
        <w:spacing w:line="360" w:lineRule="auto"/>
        <w:jc w:val="center"/>
        <w:rPr>
          <w:rFonts w:ascii="宋体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2014-2015</w:t>
      </w:r>
      <w:r>
        <w:rPr>
          <w:rFonts w:hint="eastAsia" w:ascii="宋体" w:hAnsi="宋体" w:cs="宋体"/>
        </w:rPr>
        <w:t>学年第1学期试卷）</w:t>
      </w:r>
    </w:p>
    <w:p>
      <w:pPr>
        <w:spacing w:line="740" w:lineRule="exact"/>
        <w:jc w:val="center"/>
        <w:rPr>
          <w:rFonts w:ascii="宋体"/>
          <w:b/>
          <w:bCs/>
          <w:sz w:val="32"/>
          <w:szCs w:val="32"/>
        </w:rPr>
      </w:pPr>
    </w:p>
    <w:p>
      <w:pPr>
        <w:spacing w:line="360" w:lineRule="exact"/>
        <w:jc w:val="left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各二级学院（部、中心）：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hint="eastAsia" w:ascii="宋体" w:hAnsi="宋体" w:cs="宋体"/>
        </w:rPr>
        <w:t>为提高课程教学质量，加强对我校课程考核过程、命题和评价质量的监控，学校以各二级学院（部）自查和学校督导抽查相结合的方式对</w:t>
      </w:r>
      <w:r>
        <w:rPr>
          <w:rFonts w:ascii="宋体" w:hAnsi="宋体" w:cs="宋体"/>
        </w:rPr>
        <w:t>2014-2015</w:t>
      </w:r>
      <w:r>
        <w:rPr>
          <w:rFonts w:hint="eastAsia" w:ascii="宋体" w:hAnsi="宋体" w:cs="宋体"/>
        </w:rPr>
        <w:t>学年第1学期的</w:t>
      </w:r>
      <w:r>
        <w:rPr>
          <w:rFonts w:ascii="宋体" w:hAnsi="宋体" w:cs="宋体"/>
        </w:rPr>
        <w:t>66</w:t>
      </w:r>
      <w:r>
        <w:rPr>
          <w:rFonts w:hint="eastAsia" w:ascii="宋体" w:hAnsi="宋体" w:cs="宋体"/>
        </w:rPr>
        <w:t>门课程的考核质量进行了抽查。现将抽查情况通报如下：</w:t>
      </w:r>
    </w:p>
    <w:p>
      <w:pPr>
        <w:spacing w:line="380" w:lineRule="exact"/>
        <w:ind w:firstLine="482" w:firstLineChars="200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一、总体情况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hint="eastAsia" w:ascii="宋体" w:hAnsi="宋体" w:cs="宋体"/>
        </w:rPr>
        <w:t>经评审，抽查的</w:t>
      </w:r>
      <w:r>
        <w:rPr>
          <w:rFonts w:ascii="宋体" w:hAnsi="宋体" w:cs="宋体"/>
        </w:rPr>
        <w:t>66</w:t>
      </w:r>
      <w:r>
        <w:rPr>
          <w:rFonts w:hint="eastAsia" w:ascii="宋体" w:hAnsi="宋体" w:cs="宋体"/>
        </w:rPr>
        <w:t>门课程中被评为“优秀”为</w:t>
      </w:r>
      <w:r>
        <w:rPr>
          <w:rFonts w:hint="eastAsia" w:ascii="宋体" w:hAnsi="宋体" w:cs="宋体"/>
          <w:lang w:val="en-US" w:eastAsia="zh-CN"/>
        </w:rPr>
        <w:t>30</w:t>
      </w:r>
      <w:r>
        <w:rPr>
          <w:rFonts w:hint="eastAsia" w:ascii="宋体" w:hAnsi="宋体" w:cs="宋体"/>
        </w:rPr>
        <w:t>门，占被查课程的</w:t>
      </w:r>
      <w:r>
        <w:rPr>
          <w:rFonts w:hint="eastAsia" w:ascii="宋体" w:cs="宋体"/>
          <w:b w:val="0"/>
          <w:bCs w:val="0"/>
          <w:kern w:val="0"/>
          <w:sz w:val="20"/>
          <w:szCs w:val="20"/>
          <w:lang w:val="en-US" w:eastAsia="zh-CN"/>
        </w:rPr>
        <w:t>45.45%</w:t>
      </w:r>
      <w:r>
        <w:rPr>
          <w:rFonts w:hint="eastAsia" w:ascii="宋体" w:hAnsi="宋体" w:cs="宋体"/>
        </w:rPr>
        <w:t>；被评为“良好”为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  <w:lang w:val="en-US" w:eastAsia="zh-CN"/>
        </w:rPr>
        <w:t>0</w:t>
      </w:r>
      <w:r>
        <w:rPr>
          <w:rFonts w:hint="eastAsia" w:ascii="宋体" w:hAnsi="宋体" w:cs="宋体"/>
        </w:rPr>
        <w:t>门，占被查课程的</w:t>
      </w:r>
      <w:r>
        <w:rPr>
          <w:rFonts w:hint="eastAsia" w:ascii="宋体" w:cs="宋体"/>
          <w:b w:val="0"/>
          <w:bCs w:val="0"/>
          <w:kern w:val="0"/>
          <w:sz w:val="20"/>
          <w:szCs w:val="20"/>
          <w:lang w:val="en-US" w:eastAsia="zh-CN"/>
        </w:rPr>
        <w:t>45.45%</w:t>
      </w:r>
      <w:r>
        <w:rPr>
          <w:rFonts w:hint="eastAsia" w:ascii="宋体" w:hAnsi="宋体" w:cs="宋体"/>
        </w:rPr>
        <w:t>；被评为“合格”为</w:t>
      </w: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门，占被查课程的</w:t>
      </w:r>
      <w:r>
        <w:rPr>
          <w:rFonts w:ascii="宋体" w:hAnsi="宋体" w:cs="宋体"/>
        </w:rPr>
        <w:t>7.58%</w:t>
      </w:r>
      <w:r>
        <w:rPr>
          <w:rFonts w:hint="eastAsia" w:ascii="宋体" w:hAnsi="宋体" w:cs="宋体"/>
        </w:rPr>
        <w:t>。被评为“不合格”为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门，占被查课程的</w:t>
      </w:r>
      <w:r>
        <w:rPr>
          <w:rFonts w:ascii="宋体" w:hAnsi="宋体" w:cs="宋体"/>
        </w:rPr>
        <w:t>1.52%</w:t>
      </w:r>
      <w:r>
        <w:rPr>
          <w:rFonts w:hint="eastAsia" w:ascii="宋体" w:hAnsi="宋体" w:cs="宋体"/>
        </w:rPr>
        <w:t>。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hint="eastAsia" w:ascii="宋体" w:hAnsi="宋体" w:cs="宋体"/>
        </w:rPr>
        <w:t>本次抽查，各二级学院（部）课程考核质量和往年基本持平，特别是优秀和良好的总量较往年略有增加，但仍存在着一些共性问题，需要引起各二级学院（部）和教师重视，并在今后课程考核过程中加以规范和改进。如：以非试卷形式考核的课程，考核的过程材料不全，成绩评定依据不充分；部分试卷</w:t>
      </w:r>
      <w:r>
        <w:rPr>
          <w:rFonts w:ascii="宋体" w:hAnsi="宋体" w:cs="宋体"/>
        </w:rPr>
        <w:t>A/B</w:t>
      </w:r>
      <w:r>
        <w:rPr>
          <w:rFonts w:hint="eastAsia" w:ascii="宋体" w:hAnsi="宋体" w:cs="宋体"/>
        </w:rPr>
        <w:t>卷重合率较高，试题过难或过易；试卷评阅不规范；试卷分析不全面、过于简单；试卷成绩登记表和试卷分析表缺分管领导签名等。</w:t>
      </w:r>
    </w:p>
    <w:p>
      <w:pPr>
        <w:spacing w:line="380" w:lineRule="exact"/>
        <w:ind w:firstLine="482" w:firstLineChars="200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二、具体存在的问题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一</w:t>
      </w:r>
      <w:r>
        <w:rPr>
          <w:rFonts w:ascii="宋体" w:hAnsi="宋体" w:cs="宋体"/>
        </w:rPr>
        <w:t xml:space="preserve">) </w:t>
      </w:r>
      <w:r>
        <w:rPr>
          <w:rFonts w:hint="eastAsia" w:ascii="宋体" w:hAnsi="宋体" w:cs="宋体"/>
        </w:rPr>
        <w:t>部分课程试卷分析比较简单，存在一定问题，如：建工学院《给水排水管道工程》和《城市规划管理与法规》、艺术学院《形态构成》、生化</w:t>
      </w:r>
      <w:r>
        <w:rPr>
          <w:rFonts w:ascii="宋体" w:hAnsi="宋体" w:cs="宋体"/>
        </w:rPr>
        <w:t>/</w:t>
      </w:r>
      <w:r>
        <w:rPr>
          <w:rFonts w:hint="eastAsia" w:ascii="宋体" w:hAnsi="宋体" w:cs="宋体"/>
        </w:rPr>
        <w:t>轻工学院《生物转化与催化》和《天然产物新型分离技术》、理学院《大学物理</w:t>
      </w:r>
      <w:r>
        <w:rPr>
          <w:rFonts w:ascii="宋体" w:hAnsi="宋体" w:cs="宋体"/>
        </w:rPr>
        <w:t>B</w:t>
      </w:r>
      <w:r>
        <w:rPr>
          <w:rFonts w:hint="eastAsia" w:ascii="宋体" w:hAnsi="宋体" w:cs="宋体"/>
        </w:rPr>
        <w:t>》。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hint="eastAsia" w:ascii="宋体" w:hAnsi="宋体" w:cs="宋体"/>
        </w:rPr>
        <w:t>（二）个别试卷在题量上存在或偏多或偏少、偏易或偏难，评分偏松或偏紧，部分试卷阅卷评分存在随意性，无批改教师签名，且个别试卷出现试卷加分、计分、批改错误等，如：</w:t>
      </w:r>
    </w:p>
    <w:p>
      <w:pPr>
        <w:widowControl/>
        <w:spacing w:line="380" w:lineRule="exact"/>
        <w:ind w:firstLine="407" w:firstLineChars="194"/>
        <w:jc w:val="left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．机械学院《机电传动控制》、电气学院《电工电子学</w:t>
      </w:r>
      <w:r>
        <w:rPr>
          <w:rFonts w:ascii="宋体" w:hAnsi="宋体" w:cs="宋体"/>
        </w:rPr>
        <w:t>A</w:t>
      </w:r>
      <w:r>
        <w:rPr>
          <w:rFonts w:hint="eastAsia" w:ascii="宋体" w:hAnsi="宋体" w:cs="宋体"/>
        </w:rPr>
        <w:t>》、建工学院《给水排水管道工程》、生化</w:t>
      </w:r>
      <w:r>
        <w:rPr>
          <w:rFonts w:ascii="宋体" w:hAnsi="宋体" w:cs="宋体"/>
        </w:rPr>
        <w:t>/</w:t>
      </w:r>
      <w:r>
        <w:rPr>
          <w:rFonts w:hint="eastAsia" w:ascii="宋体" w:hAnsi="宋体" w:cs="宋体"/>
        </w:rPr>
        <w:t>轻工学院《生物转化与催化》出现加分</w:t>
      </w:r>
      <w:r>
        <w:rPr>
          <w:rFonts w:ascii="宋体" w:hAnsi="宋体" w:cs="宋体"/>
        </w:rPr>
        <w:t>/</w:t>
      </w:r>
      <w:r>
        <w:rPr>
          <w:rFonts w:hint="eastAsia" w:ascii="宋体" w:hAnsi="宋体" w:cs="宋体"/>
        </w:rPr>
        <w:t>统分或批改错误。</w:t>
      </w:r>
      <w:r>
        <w:rPr>
          <w:rFonts w:ascii="宋体" w:hAnsi="宋体" w:cs="宋体"/>
        </w:rPr>
        <w:t xml:space="preserve">                                                                                                                                                       </w:t>
      </w:r>
    </w:p>
    <w:p>
      <w:pPr>
        <w:widowControl/>
        <w:spacing w:line="380" w:lineRule="exact"/>
        <w:ind w:firstLine="407" w:firstLineChars="194"/>
        <w:jc w:val="left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．机械学院《机电传动控制》、电气学院《电工电子学</w:t>
      </w:r>
      <w:r>
        <w:rPr>
          <w:rFonts w:ascii="宋体" w:hAnsi="宋体" w:cs="宋体"/>
        </w:rPr>
        <w:t>A</w:t>
      </w:r>
      <w:r>
        <w:rPr>
          <w:rFonts w:hint="eastAsia" w:ascii="宋体" w:hAnsi="宋体" w:cs="宋体"/>
        </w:rPr>
        <w:t>》和《建筑电气》、经管学院《运筹学》和《国际贸易理论》批改修改处部分无签名或试卷无签名。</w:t>
      </w:r>
    </w:p>
    <w:p>
      <w:pPr>
        <w:widowControl/>
        <w:spacing w:line="380" w:lineRule="exact"/>
        <w:ind w:firstLine="407" w:firstLineChars="194"/>
        <w:jc w:val="left"/>
        <w:rPr>
          <w:rFonts w:ascii="宋体"/>
        </w:rPr>
      </w:pPr>
      <w:r>
        <w:rPr>
          <w:rFonts w:ascii="宋体" w:hAnsi="宋体" w:cs="宋体"/>
        </w:rPr>
        <w:t xml:space="preserve">3. </w:t>
      </w:r>
      <w:r>
        <w:rPr>
          <w:rFonts w:hint="eastAsia" w:ascii="宋体" w:hAnsi="宋体" w:cs="宋体"/>
        </w:rPr>
        <w:t>艺术学院《形态构成》、生化</w:t>
      </w:r>
      <w:r>
        <w:rPr>
          <w:rFonts w:ascii="宋体" w:hAnsi="宋体" w:cs="宋体"/>
        </w:rPr>
        <w:t>/</w:t>
      </w:r>
      <w:r>
        <w:rPr>
          <w:rFonts w:hint="eastAsia" w:ascii="宋体" w:hAnsi="宋体" w:cs="宋体"/>
        </w:rPr>
        <w:t>轻工学院《数字印前原理与技术》、电气学院《建筑电气》、建工学院《房屋建筑学》总评成绩构成与教学大纲不一致。</w:t>
      </w:r>
    </w:p>
    <w:p>
      <w:pPr>
        <w:widowControl/>
        <w:spacing w:line="380" w:lineRule="exact"/>
        <w:ind w:firstLine="407" w:firstLineChars="194"/>
        <w:jc w:val="left"/>
        <w:rPr>
          <w:rFonts w:ascii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．部分课程成绩分布不太合理</w:t>
      </w:r>
      <w:r>
        <w:rPr>
          <w:rFonts w:ascii="宋体" w:cs="宋体"/>
        </w:rPr>
        <w:t>,</w:t>
      </w:r>
      <w:r>
        <w:rPr>
          <w:rFonts w:hint="eastAsia" w:ascii="宋体" w:cs="宋体"/>
        </w:rPr>
        <w:t>不符合正态分布，</w:t>
      </w:r>
      <w:r>
        <w:rPr>
          <w:rFonts w:hint="eastAsia" w:ascii="宋体" w:hAnsi="宋体" w:cs="宋体"/>
        </w:rPr>
        <w:t>如：建工学院《给水排水管道工程》、机械学院《汽车营销与策划》、生化学院</w:t>
      </w:r>
      <w:r>
        <w:rPr>
          <w:rFonts w:ascii="宋体" w:hAnsi="宋体" w:cs="宋体"/>
        </w:rPr>
        <w:t>/</w:t>
      </w:r>
      <w:r>
        <w:rPr>
          <w:rFonts w:hint="eastAsia" w:ascii="宋体" w:hAnsi="宋体" w:cs="宋体"/>
        </w:rPr>
        <w:t>轻工学院《天然产物新型分离技术》。</w:t>
      </w:r>
      <w:r>
        <w:rPr>
          <w:rFonts w:ascii="宋体" w:hAnsi="宋体" w:cs="宋体"/>
        </w:rPr>
        <w:t xml:space="preserve"> </w:t>
      </w:r>
    </w:p>
    <w:p>
      <w:pPr>
        <w:widowControl/>
        <w:spacing w:line="380" w:lineRule="exact"/>
        <w:ind w:firstLine="407" w:firstLineChars="194"/>
        <w:jc w:val="left"/>
        <w:rPr>
          <w:rFonts w:ascii="宋体"/>
        </w:rPr>
      </w:pP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三</w:t>
      </w:r>
      <w:r>
        <w:rPr>
          <w:rFonts w:ascii="宋体" w:hAnsi="宋体" w:cs="宋体"/>
        </w:rPr>
        <w:t xml:space="preserve">) </w:t>
      </w:r>
      <w:r>
        <w:rPr>
          <w:rFonts w:hint="eastAsia" w:ascii="宋体" w:hAnsi="宋体" w:cs="宋体"/>
        </w:rPr>
        <w:t>部分课程试卷的</w:t>
      </w:r>
      <w:r>
        <w:rPr>
          <w:rFonts w:ascii="宋体" w:hAnsi="宋体" w:cs="宋体"/>
        </w:rPr>
        <w:t>A/B</w:t>
      </w:r>
      <w:r>
        <w:rPr>
          <w:rFonts w:hint="eastAsia" w:ascii="宋体" w:hAnsi="宋体" w:cs="宋体"/>
        </w:rPr>
        <w:t>卷有雷同或雷同率较高，如：建工学院《给水排水管道工程》，机械学院《机械传动与控制》、生化</w:t>
      </w:r>
      <w:r>
        <w:rPr>
          <w:rFonts w:ascii="宋体" w:hAnsi="宋体" w:cs="宋体"/>
        </w:rPr>
        <w:t>/</w:t>
      </w:r>
      <w:r>
        <w:rPr>
          <w:rFonts w:hint="eastAsia" w:ascii="宋体" w:hAnsi="宋体" w:cs="宋体"/>
        </w:rPr>
        <w:t>轻工学院《生物转化与催化》、信息学院《电工电子学</w:t>
      </w:r>
      <w:r>
        <w:rPr>
          <w:rFonts w:ascii="宋体" w:hAnsi="宋体" w:cs="宋体"/>
        </w:rPr>
        <w:t>B</w:t>
      </w:r>
      <w:r>
        <w:rPr>
          <w:rFonts w:hint="eastAsia" w:ascii="宋体" w:hAnsi="宋体" w:cs="宋体"/>
        </w:rPr>
        <w:t>》。</w:t>
      </w:r>
    </w:p>
    <w:p>
      <w:pPr>
        <w:widowControl/>
        <w:spacing w:line="380" w:lineRule="exact"/>
        <w:ind w:firstLine="407" w:firstLineChars="194"/>
        <w:jc w:val="left"/>
        <w:rPr>
          <w:rFonts w:ascii="宋体"/>
        </w:rPr>
      </w:pP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四</w:t>
      </w:r>
      <w:r>
        <w:rPr>
          <w:rFonts w:ascii="宋体" w:hAnsi="宋体" w:cs="宋体"/>
        </w:rPr>
        <w:t xml:space="preserve">) </w:t>
      </w:r>
      <w:r>
        <w:rPr>
          <w:rFonts w:hint="eastAsia" w:ascii="宋体" w:hAnsi="宋体" w:cs="宋体"/>
        </w:rPr>
        <w:t>部分课程教学环节记录册、成绩登记表登记不规范，或不完整、有误，如：经管学院《运筹学》、建工学院《给水排水管道工程》、机械学院《机电传动控制》、艺术学院《服装营销管理》、电气学院《微机原理（双语）》。</w:t>
      </w:r>
    </w:p>
    <w:p>
      <w:pPr>
        <w:spacing w:line="380" w:lineRule="exact"/>
        <w:ind w:firstLine="482" w:firstLineChars="200"/>
        <w:rPr>
          <w:rFonts w:ascii="宋体"/>
          <w:b/>
          <w:bCs/>
          <w:sz w:val="24"/>
          <w:szCs w:val="24"/>
        </w:rPr>
      </w:pPr>
    </w:p>
    <w:p>
      <w:pPr>
        <w:spacing w:line="380" w:lineRule="exact"/>
        <w:ind w:firstLine="482" w:firstLineChars="200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三、整改要求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．教务处将把学校督导组专家抽查的详细评审意见反馈给各二级学院（部），请各二级学院（部）根据自查和学校抽查评审意见及时进行分析，纠正存在的问题，写出整改报告。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．各二级学院（部）应对存在加分、计分、批改错误的课程考核情况进行全面的核查及整改，找出问题出现的原因，并根据学校成绩修改流程进行如实更正。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．各二级学院（部）要高度重视课程考核的规范性，特别是要在进行课程考核方式改革的同时，关注采用非试卷方式考核的课程考核的规范性。</w:t>
      </w:r>
    </w:p>
    <w:p>
      <w:pPr>
        <w:spacing w:line="380" w:lineRule="exact"/>
        <w:ind w:firstLine="420" w:firstLineChars="200"/>
        <w:rPr>
          <w:rFonts w:ascii="仿宋_GB2312" w:hAnsi="宋体" w:eastAsia="仿宋_GB2312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．各二级学院（部）整改报告的纸质稿请在</w:t>
      </w:r>
      <w:r>
        <w:rPr>
          <w:rFonts w:ascii="宋体" w:hAnsi="宋体" w:cs="宋体"/>
        </w:rPr>
        <w:t>2016</w:t>
      </w:r>
      <w:r>
        <w:rPr>
          <w:rFonts w:hint="eastAsia" w:ascii="宋体" w:hAnsi="宋体" w:cs="宋体"/>
        </w:rPr>
        <w:t>年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月</w:t>
      </w:r>
      <w:r>
        <w:rPr>
          <w:rFonts w:ascii="宋体" w:hAnsi="宋体" w:cs="宋体"/>
        </w:rPr>
        <w:t>25</w:t>
      </w:r>
      <w:r>
        <w:rPr>
          <w:rFonts w:hint="eastAsia" w:ascii="宋体" w:hAnsi="宋体" w:cs="宋体"/>
        </w:rPr>
        <w:t>日前交教务处行政楼</w:t>
      </w:r>
      <w:r>
        <w:rPr>
          <w:rFonts w:ascii="宋体" w:hAnsi="宋体" w:cs="宋体"/>
        </w:rPr>
        <w:t>209</w:t>
      </w:r>
      <w:r>
        <w:rPr>
          <w:rFonts w:hint="eastAsia" w:ascii="宋体" w:hAnsi="宋体" w:cs="宋体"/>
        </w:rPr>
        <w:t>办公室，</w:t>
      </w:r>
      <w:r>
        <w:fldChar w:fldCharType="begin"/>
      </w:r>
      <w:r>
        <w:instrText xml:space="preserve"> HYPERLINK "mailto:整改报告的电子稿发至yunong711@yahoo.com.cn" </w:instrText>
      </w:r>
      <w:r>
        <w:fldChar w:fldCharType="separate"/>
      </w:r>
      <w:r>
        <w:rPr>
          <w:rStyle w:val="8"/>
          <w:rFonts w:hint="eastAsia" w:ascii="宋体" w:hAnsi="宋体" w:cs="宋体"/>
          <w:color w:val="auto"/>
          <w:u w:val="none"/>
        </w:rPr>
        <w:t>电子稿发至</w:t>
      </w:r>
      <w:r>
        <w:rPr>
          <w:rStyle w:val="8"/>
          <w:rFonts w:ascii="宋体" w:hAnsi="宋体" w:cs="宋体"/>
          <w:color w:val="auto"/>
          <w:u w:val="none"/>
        </w:rPr>
        <w:t>y310013@qq.com</w:t>
      </w:r>
      <w:r>
        <w:rPr>
          <w:rStyle w:val="8"/>
          <w:rFonts w:ascii="宋体" w:hAnsi="宋体" w:cs="宋体"/>
          <w:color w:val="auto"/>
          <w:u w:val="none"/>
        </w:rPr>
        <w:fldChar w:fldCharType="end"/>
      </w:r>
      <w:r>
        <w:rPr>
          <w:rFonts w:hint="eastAsia" w:ascii="宋体" w:hAnsi="宋体" w:cs="宋体"/>
        </w:rPr>
        <w:t>，教务处将择期组织专家对整改情况进行检查。</w:t>
      </w:r>
    </w:p>
    <w:p>
      <w:pPr>
        <w:spacing w:line="380" w:lineRule="exact"/>
        <w:ind w:firstLine="420" w:firstLineChars="200"/>
        <w:rPr>
          <w:rFonts w:ascii="宋体"/>
        </w:rPr>
      </w:pPr>
    </w:p>
    <w:p>
      <w:pPr>
        <w:spacing w:line="380" w:lineRule="exact"/>
        <w:ind w:firstLine="420" w:firstLineChars="200"/>
        <w:rPr>
          <w:rFonts w:ascii="宋体"/>
        </w:rPr>
      </w:pP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hint="eastAsia" w:ascii="宋体" w:hAnsi="宋体" w:cs="宋体"/>
        </w:rPr>
        <w:t>附：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ascii="宋体" w:hAnsi="宋体" w:cs="宋体"/>
        </w:rPr>
        <w:t>1. 2014-2015</w:t>
      </w:r>
      <w:r>
        <w:rPr>
          <w:rFonts w:hint="eastAsia" w:ascii="宋体" w:hAnsi="宋体" w:cs="宋体"/>
        </w:rPr>
        <w:t>学年第1学期课程考核情况抽查结果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．各二级学院（部）需整改课程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ascii="宋体" w:cs="宋体"/>
        </w:rPr>
        <w:t>.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课程考核情况抽查结果数据统计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．课程考核情况整改报告（空白表）</w:t>
      </w:r>
    </w:p>
    <w:p>
      <w:pPr>
        <w:spacing w:line="380" w:lineRule="exact"/>
        <w:ind w:firstLine="640" w:firstLineChars="200"/>
        <w:jc w:val="right"/>
        <w:rPr>
          <w:rFonts w:ascii="楷体_GB2312" w:hAnsi="宋体" w:eastAsia="楷体_GB2312"/>
          <w:sz w:val="32"/>
          <w:szCs w:val="32"/>
        </w:rPr>
      </w:pPr>
    </w:p>
    <w:p>
      <w:pPr>
        <w:spacing w:line="380" w:lineRule="exact"/>
        <w:ind w:firstLine="640" w:firstLineChars="200"/>
        <w:jc w:val="right"/>
        <w:rPr>
          <w:rFonts w:ascii="楷体_GB2312" w:hAnsi="宋体" w:eastAsia="楷体_GB2312"/>
          <w:sz w:val="32"/>
          <w:szCs w:val="32"/>
        </w:rPr>
      </w:pPr>
    </w:p>
    <w:p>
      <w:pPr>
        <w:spacing w:line="380" w:lineRule="exact"/>
        <w:ind w:firstLine="640" w:firstLineChars="200"/>
        <w:jc w:val="right"/>
        <w:rPr>
          <w:rFonts w:ascii="楷体_GB2312" w:hAnsi="宋体" w:eastAsia="楷体_GB2312"/>
          <w:sz w:val="32"/>
          <w:szCs w:val="32"/>
        </w:rPr>
      </w:pPr>
    </w:p>
    <w:p>
      <w:pPr>
        <w:spacing w:line="380" w:lineRule="exact"/>
        <w:ind w:firstLine="640" w:firstLineChars="200"/>
        <w:jc w:val="right"/>
        <w:rPr>
          <w:rFonts w:ascii="楷体_GB2312" w:hAnsi="宋体" w:eastAsia="楷体_GB2312"/>
          <w:sz w:val="32"/>
          <w:szCs w:val="32"/>
        </w:rPr>
      </w:pPr>
    </w:p>
    <w:p>
      <w:pPr>
        <w:spacing w:line="380" w:lineRule="exact"/>
        <w:ind w:right="800" w:firstLine="560" w:firstLineChars="200"/>
        <w:jc w:val="right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教务处</w:t>
      </w:r>
    </w:p>
    <w:p>
      <w:pPr>
        <w:spacing w:line="380" w:lineRule="exact"/>
        <w:ind w:firstLine="560" w:firstLineChars="200"/>
        <w:jc w:val="right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2016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ascii="宋体" w:hAnsi="宋体" w:cs="宋体"/>
          <w:sz w:val="28"/>
          <w:szCs w:val="28"/>
        </w:rPr>
        <w:t>3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ascii="宋体" w:hAnsi="宋体" w:cs="宋体"/>
          <w:sz w:val="28"/>
          <w:szCs w:val="28"/>
        </w:rPr>
        <w:t>8</w:t>
      </w:r>
      <w:r>
        <w:rPr>
          <w:rFonts w:hint="eastAsia" w:ascii="宋体" w:hAnsi="宋体" w:cs="宋体"/>
          <w:sz w:val="28"/>
          <w:szCs w:val="28"/>
        </w:rPr>
        <w:t>日</w:t>
      </w:r>
    </w:p>
    <w:p>
      <w:pPr>
        <w:spacing w:afterLines="50"/>
        <w:rPr>
          <w:rFonts w:ascii="宋体"/>
          <w:sz w:val="36"/>
          <w:szCs w:val="36"/>
        </w:rPr>
      </w:pPr>
      <w:r>
        <w:rPr>
          <w:rFonts w:ascii="宋体"/>
        </w:rPr>
        <w:br w:type="page"/>
      </w:r>
      <w:r>
        <w:rPr>
          <w:rFonts w:hint="eastAsia" w:ascii="宋体" w:hAnsi="宋体" w:cs="宋体"/>
        </w:rPr>
        <w:t>附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：</w:t>
      </w:r>
      <w:r>
        <w:rPr>
          <w:rFonts w:ascii="宋体" w:hAnsi="宋体" w:cs="宋体"/>
          <w:sz w:val="36"/>
          <w:szCs w:val="36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课程考核质量抽测情况</w:t>
      </w:r>
      <w:r>
        <w:rPr>
          <w:rFonts w:ascii="宋体" w:hAnsi="宋体" w:cs="宋体"/>
        </w:rPr>
        <w:t>(2014-2015</w:t>
      </w:r>
      <w:r>
        <w:rPr>
          <w:rFonts w:hint="eastAsia" w:ascii="宋体" w:hAnsi="宋体" w:cs="宋体"/>
        </w:rPr>
        <w:t>学年第1学期</w:t>
      </w:r>
      <w:r>
        <w:rPr>
          <w:rFonts w:ascii="宋体" w:hAnsi="宋体" w:cs="宋体"/>
        </w:rPr>
        <w:t>)</w:t>
      </w:r>
    </w:p>
    <w:tbl>
      <w:tblPr>
        <w:tblStyle w:val="9"/>
        <w:tblW w:w="9015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1830"/>
        <w:gridCol w:w="2447"/>
        <w:gridCol w:w="1080"/>
        <w:gridCol w:w="1980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9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83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开课学院</w:t>
            </w:r>
          </w:p>
        </w:tc>
        <w:tc>
          <w:tcPr>
            <w:tcW w:w="244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教师姓名</w:t>
            </w:r>
          </w:p>
        </w:tc>
        <w:tc>
          <w:tcPr>
            <w:tcW w:w="19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班级组成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最终结果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机械学院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流体力学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候继伟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机制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123-136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机械学院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机电传动与控制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翁卫兵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机制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机械学院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成型技术综合实验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李勇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材料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机械学院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汽车服务工程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高玉根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汽车工程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122 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机械学院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汽车营销与策划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张力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汽车工程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111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112 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机械学院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机械制造工艺学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郑军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机制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电气学院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电工电子学</w:t>
            </w:r>
            <w:r>
              <w:rPr>
                <w:kern w:val="0"/>
                <w:sz w:val="18"/>
                <w:szCs w:val="18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孙月兰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机制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电气学院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自动控制原理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孙勇智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自动化</w:t>
            </w:r>
            <w:r>
              <w:rPr>
                <w:kern w:val="0"/>
                <w:sz w:val="18"/>
                <w:szCs w:val="18"/>
              </w:rPr>
              <w:t>123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kern w:val="0"/>
                <w:sz w:val="18"/>
                <w:szCs w:val="18"/>
              </w:rPr>
              <w:t>124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电气学院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专业外语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王子辉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电气</w:t>
            </w:r>
            <w:r>
              <w:rPr>
                <w:kern w:val="0"/>
                <w:sz w:val="18"/>
                <w:szCs w:val="18"/>
              </w:rPr>
              <w:t>123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kern w:val="0"/>
                <w:sz w:val="18"/>
                <w:szCs w:val="18"/>
              </w:rPr>
              <w:t>124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电气学院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传感器与检测技术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徐宏飞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电气工程</w:t>
            </w:r>
            <w:r>
              <w:rPr>
                <w:kern w:val="0"/>
                <w:sz w:val="18"/>
                <w:szCs w:val="18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kern w:val="0"/>
                <w:sz w:val="18"/>
                <w:szCs w:val="18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电气学院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建筑电气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张金江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土木</w:t>
            </w:r>
            <w:r>
              <w:rPr>
                <w:kern w:val="0"/>
                <w:sz w:val="18"/>
                <w:szCs w:val="18"/>
              </w:rPr>
              <w:t>121-125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电气学院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微机原理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项小东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电气</w:t>
            </w:r>
            <w:r>
              <w:rPr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级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信息学院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面向对象程序设计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王华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软工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信息学院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程序设计基础（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C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语言）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林志洁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信息大类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1407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1408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信息学院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电子电工学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叶林朋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信息学院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C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语言程序设计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琚洁慧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电气大类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1409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信息学院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数据库设计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唐伟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数媒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131 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信息学院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模拟电子技术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周武杰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电气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建工学院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给水排水管道工程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陈勇民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给水排水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建工学院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城市规划管理与法规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冯雨峰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城规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111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建工学院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建筑物理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武茜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土木工程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H141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建工学院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房屋建筑学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黄竹也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土木（双学位）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、土木（国际）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建工学院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水工程施工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谢作甫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给水排水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建工学院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基坑设计与开挖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王立峰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土木吕贝克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生化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轻工学院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龚金炎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食品科学与工程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生化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轻工学院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生物转化与催化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黄俊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生物工程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27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生化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轻工学院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数字印前原理与技术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王海文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印刷工程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生化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轻工学院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造纸功能纤维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陈华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轻化工程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29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生化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轻工学院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天然产物新型分离技术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邢闯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级化工（专升本）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生化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轻工学院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生物化学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周一峰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制药专升本</w:t>
            </w: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  <w:t>141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31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艺术学院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计算机辅助产品表现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卢艺舟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工业设计艺术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</w:tbl>
    <w:p>
      <w:pPr/>
    </w:p>
    <w:tbl>
      <w:tblPr>
        <w:tblStyle w:val="9"/>
        <w:tblW w:w="9015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1830"/>
        <w:gridCol w:w="2447"/>
        <w:gridCol w:w="1080"/>
        <w:gridCol w:w="1980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艺术学院</w:t>
            </w: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时装画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翁长庆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33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艺术学院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电脑图形图像处理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金杭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视传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艺术学院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服装营销管理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胡淑蓉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艺术学院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形态构成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孟涛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环境设计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36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艺术学院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色彩技法及构成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焦燕清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动画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37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经管学院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商法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胡传海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中美班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38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经管学院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成本管理会计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李长安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财务管理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39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经管学院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人力资源管理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樊钱涛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111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经管学院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WEB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程序设计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顾忠伟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信管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41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经管学院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运筹学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范佳静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工业工程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经管学院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国际贸易理论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李洪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国贸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43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人文国际学院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中国概况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严慧仙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计算机国际班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、通信国际班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44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人文国际学院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古代汉语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胡云晚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汉语言文学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人文国际学院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语言学概论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税昌锡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汉语言文学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46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人文国际学院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文学理论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于云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汉语言文学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47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人文国际学院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中级汉语听说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杨同用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商务汉语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人文国际学院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写作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程永艳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汉语言文学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49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理学院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大学物理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B2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焦文鹤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理学院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概率论与数理统计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叶赛英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工业工程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51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理学院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高等数学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C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（专升本）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陈晓霞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建智专升本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52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理学院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高等数学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B1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申国伦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53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理学院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高等数学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A1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施英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给排水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54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理学院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大学物理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B2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杨焕平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外语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中德学院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法语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葛恬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中法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56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外语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中德学院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大学英语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黄晶晶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信息大类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1401-1414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57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外语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中德学院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大学英语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张佩秋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2014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级混合班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58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外语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中德学院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项目德语初级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童伟芳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机械国际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59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外语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中德学院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德语国家概况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罗娇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德语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外语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中德学院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高级英语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赵辉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英语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61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社科部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思想道德修养与法律基础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王劲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财务管理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62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社科部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思想道德修养与法律基础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顾建亚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食品工程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63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社科部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陈丽微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国贸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、汽车工程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64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社科部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中国近现代纲要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陈晓燕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能源与环境工程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信息学院大类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</w:tbl>
    <w:p>
      <w:pPr/>
    </w:p>
    <w:tbl>
      <w:tblPr>
        <w:tblStyle w:val="9"/>
        <w:tblW w:w="9015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1830"/>
        <w:gridCol w:w="2447"/>
        <w:gridCol w:w="1080"/>
        <w:gridCol w:w="1980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59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65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社科部</w:t>
            </w: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张冬梅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自动化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032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033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034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66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社科部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郭峰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机制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136.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轻工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优秀</w:t>
            </w:r>
          </w:p>
        </w:tc>
      </w:tr>
    </w:tbl>
    <w:p>
      <w:pPr>
        <w:spacing w:afterLines="50"/>
        <w:rPr>
          <w:rFonts w:ascii="宋体"/>
        </w:rPr>
      </w:pPr>
    </w:p>
    <w:p>
      <w:pPr>
        <w:spacing w:afterLines="50"/>
        <w:rPr>
          <w:rFonts w:ascii="宋体"/>
          <w:sz w:val="36"/>
          <w:szCs w:val="36"/>
        </w:rPr>
      </w:pPr>
      <w:r>
        <w:rPr>
          <w:rFonts w:hint="eastAsia" w:ascii="宋体" w:hAnsi="宋体" w:cs="宋体"/>
        </w:rPr>
        <w:t>附</w:t>
      </w:r>
      <w:r>
        <w:rPr>
          <w:rFonts w:ascii="宋体" w:hAnsi="宋体" w:cs="宋体"/>
        </w:rPr>
        <w:t xml:space="preserve">2 </w:t>
      </w:r>
      <w:r>
        <w:rPr>
          <w:rFonts w:ascii="宋体" w:hAnsi="宋体" w:cs="宋体"/>
          <w:b/>
          <w:bCs/>
          <w:sz w:val="32"/>
          <w:szCs w:val="32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sz w:val="28"/>
          <w:szCs w:val="28"/>
        </w:rPr>
        <w:t>各二级学院（部）需整改课程</w:t>
      </w:r>
      <w:r>
        <w:rPr>
          <w:rFonts w:ascii="宋体" w:hAnsi="宋体" w:cs="宋体"/>
        </w:rPr>
        <w:t>(2014-2015</w:t>
      </w:r>
      <w:r>
        <w:rPr>
          <w:rFonts w:hint="eastAsia" w:ascii="宋体" w:hAnsi="宋体" w:cs="宋体"/>
        </w:rPr>
        <w:t>学年第1学期</w:t>
      </w:r>
      <w:r>
        <w:rPr>
          <w:rFonts w:ascii="宋体" w:hAnsi="宋体" w:cs="宋体"/>
        </w:rPr>
        <w:t>)</w:t>
      </w:r>
    </w:p>
    <w:tbl>
      <w:tblPr>
        <w:tblStyle w:val="9"/>
        <w:tblW w:w="9015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1830"/>
        <w:gridCol w:w="2807"/>
        <w:gridCol w:w="1260"/>
        <w:gridCol w:w="2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9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83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开课学院</w:t>
            </w:r>
          </w:p>
        </w:tc>
        <w:tc>
          <w:tcPr>
            <w:tcW w:w="280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教师姓名</w:t>
            </w: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班级组成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机械学院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流体力学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候继伟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机制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123-136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机械学院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机电传动与控制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翁卫兵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机制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机械学院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成型技术综合实验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李勇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材料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机械学院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汽车营销与策划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张力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汽车工程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111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112 </w:t>
            </w: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机械学院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机械制造工艺学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郑军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机制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电气学院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自动控制原理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孙勇智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自动化</w:t>
            </w:r>
            <w:r>
              <w:rPr>
                <w:kern w:val="0"/>
                <w:sz w:val="18"/>
                <w:szCs w:val="18"/>
              </w:rPr>
              <w:t>123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kern w:val="0"/>
                <w:sz w:val="18"/>
                <w:szCs w:val="18"/>
              </w:rPr>
              <w:t>124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电气学院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传感器与检测技术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徐宏飞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电气工程</w:t>
            </w:r>
            <w:r>
              <w:rPr>
                <w:kern w:val="0"/>
                <w:sz w:val="18"/>
                <w:szCs w:val="18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kern w:val="0"/>
                <w:sz w:val="18"/>
                <w:szCs w:val="18"/>
              </w:rPr>
              <w:t>122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电气学院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微机原理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项小东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电气</w:t>
            </w:r>
            <w:r>
              <w:rPr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信息学院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面向对象程序设计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王华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软工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信息学院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程序设计基础（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C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语言）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林志洁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信息大类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1407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1408</w:t>
            </w: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信息学院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电子电工学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叶林朋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信息学院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数据库设计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唐伟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数媒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131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建工学院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给水排水管道工程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陈勇民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给水排水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建工学院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城市规划管理与法规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冯雨峰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城规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111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建工学院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建筑物理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武茜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土木工程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H141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建工学院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房屋建筑学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黄竹也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土木（双学位）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、土木（国际）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建工学院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水工程施工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谢作甫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给水排水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建工学院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基坑设计与开挖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王立峰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土木吕贝克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生化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轻工学院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食品化学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龚金炎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食品科学与工程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生化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轻工学院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生物转化与催化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黄俊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生物工程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生化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轻工学院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数字印前原理与技术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王海文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印刷工程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生化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轻工学院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造纸功能纤维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陈华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轻化工程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122</w:t>
            </w: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生化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轻工学院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生物化学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周一峰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制药专升本141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艺术学院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服装营销管理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胡淑蓉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艺术学院</w:t>
            </w:r>
          </w:p>
        </w:tc>
        <w:tc>
          <w:tcPr>
            <w:tcW w:w="2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形态构成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孟涛</w:t>
            </w:r>
          </w:p>
        </w:tc>
        <w:tc>
          <w:tcPr>
            <w:tcW w:w="2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环境设计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经管学院</w:t>
            </w:r>
          </w:p>
        </w:tc>
        <w:tc>
          <w:tcPr>
            <w:tcW w:w="2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商法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胡传海</w:t>
            </w:r>
          </w:p>
        </w:tc>
        <w:tc>
          <w:tcPr>
            <w:tcW w:w="2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中美班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经管学院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运筹学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范佳静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工业工程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经管学院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国际贸易理论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李洪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国贸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人文国际学院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文学理论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于云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汉语言文学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人文国际学院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中级汉语听说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杨同用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商务汉语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理学院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高等数学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A1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施英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给排水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理学院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大学物理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B2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杨焕平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化工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外语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中德学院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法语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葛恬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中法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外语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中德学院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大学英语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黄晶晶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信息大类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1401-1414</w:t>
            </w: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外语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中德学院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高级英语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赵辉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英语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社科部</w:t>
            </w:r>
          </w:p>
        </w:tc>
        <w:tc>
          <w:tcPr>
            <w:tcW w:w="2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思想道德修养与法律基础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王劲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财务管理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143</w:t>
            </w:r>
          </w:p>
        </w:tc>
      </w:tr>
    </w:tbl>
    <w:p>
      <w:pPr>
        <w:spacing w:afterLines="50"/>
        <w:rPr>
          <w:rFonts w:ascii="宋体"/>
        </w:rPr>
      </w:pPr>
    </w:p>
    <w:p>
      <w:pPr>
        <w:spacing w:afterLines="50"/>
        <w:rPr>
          <w:rFonts w:ascii="宋体"/>
        </w:rPr>
      </w:pPr>
      <w:r>
        <w:rPr>
          <w:rFonts w:hint="eastAsia" w:ascii="宋体" w:hAnsi="宋体" w:cs="宋体"/>
        </w:rPr>
        <w:t>附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：</w:t>
      </w:r>
      <w:r>
        <w:rPr>
          <w:rFonts w:ascii="宋体" w:hAnsi="宋体" w:cs="宋体"/>
        </w:rPr>
        <w:t xml:space="preserve">    </w:t>
      </w:r>
      <w:r>
        <w:rPr>
          <w:rFonts w:hint="eastAsia" w:ascii="宋体" w:hAnsi="宋体" w:cs="宋体"/>
          <w:b/>
          <w:bCs/>
          <w:sz w:val="28"/>
          <w:szCs w:val="28"/>
        </w:rPr>
        <w:t>课程考核情况抽查结果数据统计</w:t>
      </w:r>
      <w:r>
        <w:rPr>
          <w:rFonts w:ascii="宋体" w:hAnsi="宋体" w:cs="宋体"/>
        </w:rPr>
        <w:t>(2014-2015</w:t>
      </w:r>
      <w:r>
        <w:rPr>
          <w:rFonts w:hint="eastAsia" w:ascii="宋体" w:hAnsi="宋体" w:cs="宋体"/>
        </w:rPr>
        <w:t>学年第1学期</w:t>
      </w:r>
      <w:r>
        <w:rPr>
          <w:rFonts w:ascii="宋体" w:hAnsi="宋体" w:cs="宋体"/>
        </w:rPr>
        <w:t>)</w:t>
      </w:r>
    </w:p>
    <w:tbl>
      <w:tblPr>
        <w:tblStyle w:val="9"/>
        <w:tblW w:w="9286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1516"/>
        <w:gridCol w:w="719"/>
        <w:gridCol w:w="593"/>
        <w:gridCol w:w="981"/>
        <w:gridCol w:w="555"/>
        <w:gridCol w:w="1122"/>
        <w:gridCol w:w="698"/>
        <w:gridCol w:w="840"/>
        <w:gridCol w:w="811"/>
        <w:gridCol w:w="8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开课学院</w:t>
            </w:r>
          </w:p>
        </w:tc>
        <w:tc>
          <w:tcPr>
            <w:tcW w:w="7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抽查课程</w:t>
            </w:r>
          </w:p>
        </w:tc>
        <w:tc>
          <w:tcPr>
            <w:tcW w:w="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优秀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百分比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良好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百分比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合格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百分比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不合格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百分比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机械学院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16.67%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66.67%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16.67%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电气学院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50%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33.33%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16.67%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信息学院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33.33%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50%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16.67%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建工学院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0%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83.33%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0%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16.67%</w:t>
            </w:r>
          </w:p>
        </w:tc>
      </w:tr>
      <w:tr>
        <w:tblPrEx>
          <w:tblLayout w:type="fixed"/>
        </w:tblPrEx>
        <w:trPr>
          <w:trHeight w:val="402" w:hRule="atLeast"/>
        </w:trPr>
        <w:tc>
          <w:tcPr>
            <w:tcW w:w="6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生化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轻工学院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16.67</w:t>
            </w:r>
            <w:r>
              <w:rPr>
                <w:rFonts w:asci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val="en-US" w:eastAsia="zh-CN"/>
              </w:rPr>
              <w:t>50</w:t>
            </w:r>
            <w:r>
              <w:rPr>
                <w:rFonts w:ascii="宋体" w:cs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33.33%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cs="宋体"/>
                <w:sz w:val="20"/>
                <w:szCs w:val="20"/>
              </w:rPr>
              <w:t>外语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eastAsia" w:cs="宋体"/>
                <w:sz w:val="20"/>
                <w:szCs w:val="20"/>
              </w:rPr>
              <w:t>中德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学院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50%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50%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0%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66.67%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33.33%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0%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经管学院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50%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50%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0%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cs="宋体"/>
                <w:sz w:val="20"/>
                <w:szCs w:val="20"/>
              </w:rPr>
              <w:t>人文国际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66.67%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33.33%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0%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66.67%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33.33%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0%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0%</w:t>
            </w:r>
          </w:p>
        </w:tc>
      </w:tr>
      <w:tr>
        <w:tblPrEx>
          <w:tblLayout w:type="fixed"/>
        </w:tblPrEx>
        <w:trPr>
          <w:trHeight w:val="402" w:hRule="atLeast"/>
        </w:trPr>
        <w:tc>
          <w:tcPr>
            <w:tcW w:w="6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社科部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83.33%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16.67%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0%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cs="宋体"/>
                <w:kern w:val="0"/>
                <w:sz w:val="20"/>
                <w:szCs w:val="20"/>
              </w:rPr>
              <w:t>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66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45.45%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45.45%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cs="宋体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cs="宋体"/>
                <w:b/>
                <w:bCs/>
                <w:kern w:val="0"/>
                <w:sz w:val="20"/>
                <w:szCs w:val="20"/>
              </w:rPr>
              <w:t>7.58%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cs="宋体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cs="宋体"/>
                <w:b/>
                <w:bCs/>
                <w:kern w:val="0"/>
                <w:sz w:val="20"/>
                <w:szCs w:val="20"/>
              </w:rPr>
              <w:t>1.52%</w:t>
            </w:r>
          </w:p>
        </w:tc>
      </w:tr>
    </w:tbl>
    <w:p>
      <w:pPr>
        <w:spacing w:afterLines="50"/>
        <w:rPr>
          <w:rFonts w:ascii="宋体"/>
          <w:b/>
          <w:bCs/>
          <w:sz w:val="32"/>
          <w:szCs w:val="32"/>
        </w:rPr>
      </w:pPr>
      <w:r>
        <w:rPr>
          <w:rFonts w:ascii="宋体"/>
        </w:rPr>
        <w:br w:type="page"/>
      </w:r>
      <w:r>
        <w:rPr>
          <w:rFonts w:hint="eastAsia" w:ascii="宋体" w:hAnsi="宋体" w:cs="宋体"/>
        </w:rPr>
        <w:t>附</w:t>
      </w: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：</w:t>
      </w:r>
      <w:r>
        <w:rPr>
          <w:rFonts w:ascii="宋体" w:hAnsi="宋体" w:cs="宋体"/>
        </w:rPr>
        <w:t xml:space="preserve">                     </w:t>
      </w:r>
      <w:r>
        <w:rPr>
          <w:rFonts w:hint="eastAsia" w:ascii="宋体" w:hAnsi="宋体" w:cs="宋体"/>
          <w:b/>
          <w:bCs/>
          <w:sz w:val="32"/>
          <w:szCs w:val="32"/>
        </w:rPr>
        <w:t>课程考核情况整改报告</w:t>
      </w:r>
    </w:p>
    <w:tbl>
      <w:tblPr>
        <w:tblStyle w:val="9"/>
        <w:tblW w:w="910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  <w:gridCol w:w="3488"/>
        <w:gridCol w:w="162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40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开课部门</w:t>
            </w:r>
          </w:p>
        </w:tc>
        <w:tc>
          <w:tcPr>
            <w:tcW w:w="3488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1620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任课教师</w:t>
            </w:r>
          </w:p>
        </w:tc>
        <w:tc>
          <w:tcPr>
            <w:tcW w:w="2160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40" w:type="dxa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课程名称</w:t>
            </w:r>
          </w:p>
        </w:tc>
        <w:tc>
          <w:tcPr>
            <w:tcW w:w="3488" w:type="dxa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1620" w:type="dxa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考核人数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840" w:type="dxa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考核班级</w:t>
            </w:r>
          </w:p>
        </w:tc>
        <w:tc>
          <w:tcPr>
            <w:tcW w:w="3488" w:type="dxa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1620" w:type="dxa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抽查结果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840" w:type="dxa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存在问题</w:t>
            </w:r>
          </w:p>
        </w:tc>
        <w:tc>
          <w:tcPr>
            <w:tcW w:w="726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1840" w:type="dxa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整改情况</w:t>
            </w:r>
          </w:p>
        </w:tc>
        <w:tc>
          <w:tcPr>
            <w:tcW w:w="726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righ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任课教师：</w:t>
            </w:r>
            <w:r>
              <w:rPr>
                <w:rFonts w:ascii="宋体" w:hAnsi="宋体" w:cs="宋体"/>
                <w:kern w:val="0"/>
              </w:rPr>
              <w:t xml:space="preserve">                      </w:t>
            </w:r>
            <w:r>
              <w:rPr>
                <w:rFonts w:hint="eastAsia" w:ascii="宋体" w:hAnsi="宋体" w:cs="宋体"/>
                <w:kern w:val="0"/>
              </w:rPr>
              <w:t>（签名）</w:t>
            </w: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righ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年</w:t>
            </w:r>
            <w:r>
              <w:rPr>
                <w:rFonts w:ascii="宋体" w:hAnsi="宋体" w:cs="宋体"/>
                <w:kern w:val="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</w:rPr>
              <w:t>月</w:t>
            </w:r>
            <w:r>
              <w:rPr>
                <w:rFonts w:ascii="宋体" w:hAnsi="宋体" w:cs="宋体"/>
                <w:kern w:val="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</w:rPr>
              <w:t>日</w:t>
            </w: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1605" w:hRule="atLeast"/>
        </w:trPr>
        <w:tc>
          <w:tcPr>
            <w:tcW w:w="18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开课教学单位</w:t>
            </w: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意见</w:t>
            </w:r>
          </w:p>
        </w:tc>
        <w:tc>
          <w:tcPr>
            <w:tcW w:w="72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righ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教学院长：</w:t>
            </w:r>
            <w:r>
              <w:rPr>
                <w:rFonts w:ascii="宋体" w:hAnsi="宋体" w:cs="宋体"/>
                <w:kern w:val="0"/>
              </w:rPr>
              <w:t xml:space="preserve">                    </w:t>
            </w:r>
            <w:r>
              <w:rPr>
                <w:rFonts w:hint="eastAsia" w:ascii="宋体" w:hAnsi="宋体" w:cs="宋体"/>
                <w:kern w:val="0"/>
              </w:rPr>
              <w:t>（签名）</w:t>
            </w:r>
          </w:p>
          <w:p>
            <w:pPr>
              <w:widowControl/>
              <w:wordWrap w:val="0"/>
              <w:jc w:val="right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年</w:t>
            </w:r>
            <w:r>
              <w:rPr>
                <w:rFonts w:ascii="宋体" w:hAnsi="宋体" w:cs="宋体"/>
                <w:kern w:val="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</w:rPr>
              <w:t>月</w:t>
            </w:r>
            <w:r>
              <w:rPr>
                <w:rFonts w:ascii="宋体" w:hAnsi="宋体" w:cs="宋体"/>
                <w:kern w:val="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</w:rPr>
              <w:t>日</w:t>
            </w:r>
          </w:p>
          <w:p>
            <w:pPr>
              <w:widowControl/>
              <w:rPr>
                <w:rFonts w:ascii="宋体"/>
                <w:kern w:val="0"/>
              </w:rPr>
            </w:pPr>
          </w:p>
          <w:p>
            <w:pPr>
              <w:widowControl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 xml:space="preserve">                                                     </w:t>
            </w:r>
            <w:r>
              <w:rPr>
                <w:rFonts w:hint="eastAsia" w:ascii="宋体" w:hAnsi="宋体" w:cs="宋体"/>
                <w:kern w:val="0"/>
              </w:rPr>
              <w:t>（部门章）</w:t>
            </w: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  <w:p>
            <w:pPr>
              <w:widowControl/>
              <w:jc w:val="center"/>
              <w:rPr>
                <w:rFonts w:ascii="宋体"/>
                <w:kern w:val="0"/>
              </w:rPr>
            </w:pPr>
          </w:p>
        </w:tc>
      </w:tr>
    </w:tbl>
    <w:p>
      <w:pPr>
        <w:spacing w:line="500" w:lineRule="exact"/>
        <w:ind w:firstLine="600" w:firstLineChars="200"/>
        <w:rPr>
          <w:rFonts w:ascii="仿宋_GB2312" w:hAnsi="宋体" w:eastAsia="仿宋_GB2312"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7</w:t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18BB"/>
    <w:rsid w:val="00003C2C"/>
    <w:rsid w:val="00004712"/>
    <w:rsid w:val="000241B3"/>
    <w:rsid w:val="00024692"/>
    <w:rsid w:val="00047952"/>
    <w:rsid w:val="00051B44"/>
    <w:rsid w:val="00063A28"/>
    <w:rsid w:val="0006554C"/>
    <w:rsid w:val="000674B7"/>
    <w:rsid w:val="00071FD4"/>
    <w:rsid w:val="00081A75"/>
    <w:rsid w:val="00082C60"/>
    <w:rsid w:val="000A60F3"/>
    <w:rsid w:val="000A716D"/>
    <w:rsid w:val="000B073D"/>
    <w:rsid w:val="000B2698"/>
    <w:rsid w:val="000B390E"/>
    <w:rsid w:val="000B3E45"/>
    <w:rsid w:val="000B5565"/>
    <w:rsid w:val="000B66A3"/>
    <w:rsid w:val="000B6823"/>
    <w:rsid w:val="000C11D3"/>
    <w:rsid w:val="000C1611"/>
    <w:rsid w:val="000C4AAA"/>
    <w:rsid w:val="000D30CD"/>
    <w:rsid w:val="000D5F1A"/>
    <w:rsid w:val="000D7FF9"/>
    <w:rsid w:val="000E447D"/>
    <w:rsid w:val="001013E0"/>
    <w:rsid w:val="0010535B"/>
    <w:rsid w:val="001149AB"/>
    <w:rsid w:val="00134E25"/>
    <w:rsid w:val="00136FB7"/>
    <w:rsid w:val="00153F0F"/>
    <w:rsid w:val="00161356"/>
    <w:rsid w:val="00171173"/>
    <w:rsid w:val="00181153"/>
    <w:rsid w:val="001834C0"/>
    <w:rsid w:val="00187E32"/>
    <w:rsid w:val="00187FD0"/>
    <w:rsid w:val="001A0E03"/>
    <w:rsid w:val="001A0F5E"/>
    <w:rsid w:val="001A205F"/>
    <w:rsid w:val="001A7C71"/>
    <w:rsid w:val="001C3B0A"/>
    <w:rsid w:val="001D38E7"/>
    <w:rsid w:val="001F0C36"/>
    <w:rsid w:val="0020180F"/>
    <w:rsid w:val="00203568"/>
    <w:rsid w:val="00210665"/>
    <w:rsid w:val="00224883"/>
    <w:rsid w:val="002633A0"/>
    <w:rsid w:val="00265108"/>
    <w:rsid w:val="002731C0"/>
    <w:rsid w:val="00282C2D"/>
    <w:rsid w:val="0028490D"/>
    <w:rsid w:val="00293ADE"/>
    <w:rsid w:val="002A0E4C"/>
    <w:rsid w:val="002A42CA"/>
    <w:rsid w:val="002B0BCB"/>
    <w:rsid w:val="002B2386"/>
    <w:rsid w:val="002C0E82"/>
    <w:rsid w:val="002C4AAD"/>
    <w:rsid w:val="002D53A0"/>
    <w:rsid w:val="002E3628"/>
    <w:rsid w:val="002E5BD2"/>
    <w:rsid w:val="002E6CEA"/>
    <w:rsid w:val="002F2DF0"/>
    <w:rsid w:val="00301EF1"/>
    <w:rsid w:val="003064F7"/>
    <w:rsid w:val="0031199A"/>
    <w:rsid w:val="0031415B"/>
    <w:rsid w:val="003218BB"/>
    <w:rsid w:val="00345295"/>
    <w:rsid w:val="0034799C"/>
    <w:rsid w:val="00353711"/>
    <w:rsid w:val="00355434"/>
    <w:rsid w:val="00360A25"/>
    <w:rsid w:val="003633A4"/>
    <w:rsid w:val="00370B74"/>
    <w:rsid w:val="00371DF9"/>
    <w:rsid w:val="0037674F"/>
    <w:rsid w:val="00377DFA"/>
    <w:rsid w:val="0038171B"/>
    <w:rsid w:val="00383588"/>
    <w:rsid w:val="00393F64"/>
    <w:rsid w:val="00394D8C"/>
    <w:rsid w:val="003A4082"/>
    <w:rsid w:val="003B261B"/>
    <w:rsid w:val="003B722C"/>
    <w:rsid w:val="003C55D7"/>
    <w:rsid w:val="003D3E60"/>
    <w:rsid w:val="003E7096"/>
    <w:rsid w:val="003F30CF"/>
    <w:rsid w:val="003F47D4"/>
    <w:rsid w:val="00404028"/>
    <w:rsid w:val="004151EB"/>
    <w:rsid w:val="004330AF"/>
    <w:rsid w:val="00434D67"/>
    <w:rsid w:val="00435D79"/>
    <w:rsid w:val="00437740"/>
    <w:rsid w:val="004408A7"/>
    <w:rsid w:val="0044403A"/>
    <w:rsid w:val="00446E5D"/>
    <w:rsid w:val="00465CE3"/>
    <w:rsid w:val="004665FD"/>
    <w:rsid w:val="004670C1"/>
    <w:rsid w:val="00470EFB"/>
    <w:rsid w:val="004713A1"/>
    <w:rsid w:val="004817EB"/>
    <w:rsid w:val="00481A77"/>
    <w:rsid w:val="004953E9"/>
    <w:rsid w:val="004A3184"/>
    <w:rsid w:val="004B61F8"/>
    <w:rsid w:val="004B79FD"/>
    <w:rsid w:val="004C1365"/>
    <w:rsid w:val="004C295A"/>
    <w:rsid w:val="004D1BF1"/>
    <w:rsid w:val="004D1F84"/>
    <w:rsid w:val="004E453F"/>
    <w:rsid w:val="004F02C4"/>
    <w:rsid w:val="004F1086"/>
    <w:rsid w:val="004F5B9D"/>
    <w:rsid w:val="00516F71"/>
    <w:rsid w:val="0052239A"/>
    <w:rsid w:val="0052254E"/>
    <w:rsid w:val="00525DD4"/>
    <w:rsid w:val="0053088A"/>
    <w:rsid w:val="00531578"/>
    <w:rsid w:val="00537461"/>
    <w:rsid w:val="005402B7"/>
    <w:rsid w:val="00560F7C"/>
    <w:rsid w:val="00577F7F"/>
    <w:rsid w:val="00580954"/>
    <w:rsid w:val="00584ACB"/>
    <w:rsid w:val="00587F38"/>
    <w:rsid w:val="00591997"/>
    <w:rsid w:val="005A1DF9"/>
    <w:rsid w:val="005A5BA0"/>
    <w:rsid w:val="005A6756"/>
    <w:rsid w:val="005C195A"/>
    <w:rsid w:val="005C1C4A"/>
    <w:rsid w:val="005C3796"/>
    <w:rsid w:val="005C66A4"/>
    <w:rsid w:val="005D0F1E"/>
    <w:rsid w:val="005F1472"/>
    <w:rsid w:val="005F62D6"/>
    <w:rsid w:val="005F6A33"/>
    <w:rsid w:val="005F786E"/>
    <w:rsid w:val="00601AA4"/>
    <w:rsid w:val="00603186"/>
    <w:rsid w:val="00603541"/>
    <w:rsid w:val="00614CE8"/>
    <w:rsid w:val="00617311"/>
    <w:rsid w:val="00620EC6"/>
    <w:rsid w:val="00625E03"/>
    <w:rsid w:val="00637056"/>
    <w:rsid w:val="006471A6"/>
    <w:rsid w:val="00651EC0"/>
    <w:rsid w:val="00656B55"/>
    <w:rsid w:val="006631AD"/>
    <w:rsid w:val="00663F5F"/>
    <w:rsid w:val="006713F3"/>
    <w:rsid w:val="006843D2"/>
    <w:rsid w:val="00686DAF"/>
    <w:rsid w:val="00693A9C"/>
    <w:rsid w:val="0069478C"/>
    <w:rsid w:val="0069550F"/>
    <w:rsid w:val="006A5402"/>
    <w:rsid w:val="006A559E"/>
    <w:rsid w:val="006B0187"/>
    <w:rsid w:val="006B0749"/>
    <w:rsid w:val="006B496F"/>
    <w:rsid w:val="006B6D26"/>
    <w:rsid w:val="006C14F3"/>
    <w:rsid w:val="006C42C9"/>
    <w:rsid w:val="006C443B"/>
    <w:rsid w:val="006C6501"/>
    <w:rsid w:val="006D573D"/>
    <w:rsid w:val="006D5B67"/>
    <w:rsid w:val="006F1ED5"/>
    <w:rsid w:val="006F264D"/>
    <w:rsid w:val="00705E12"/>
    <w:rsid w:val="00712B6B"/>
    <w:rsid w:val="00712DF0"/>
    <w:rsid w:val="00720623"/>
    <w:rsid w:val="00720841"/>
    <w:rsid w:val="0072528D"/>
    <w:rsid w:val="00725375"/>
    <w:rsid w:val="00732F0A"/>
    <w:rsid w:val="00735BAF"/>
    <w:rsid w:val="0075046A"/>
    <w:rsid w:val="00761682"/>
    <w:rsid w:val="00762EA5"/>
    <w:rsid w:val="00773F97"/>
    <w:rsid w:val="00790186"/>
    <w:rsid w:val="007A601B"/>
    <w:rsid w:val="007A6A0B"/>
    <w:rsid w:val="007A7FE7"/>
    <w:rsid w:val="007B1D7E"/>
    <w:rsid w:val="007B206B"/>
    <w:rsid w:val="007C2F31"/>
    <w:rsid w:val="007C3DF9"/>
    <w:rsid w:val="007C69DF"/>
    <w:rsid w:val="007C773E"/>
    <w:rsid w:val="007E3A1A"/>
    <w:rsid w:val="007F0566"/>
    <w:rsid w:val="00804546"/>
    <w:rsid w:val="00813826"/>
    <w:rsid w:val="00822C22"/>
    <w:rsid w:val="008252BC"/>
    <w:rsid w:val="00831D67"/>
    <w:rsid w:val="008362B7"/>
    <w:rsid w:val="008378E2"/>
    <w:rsid w:val="00837B66"/>
    <w:rsid w:val="00837C23"/>
    <w:rsid w:val="00845C7A"/>
    <w:rsid w:val="00845D50"/>
    <w:rsid w:val="008469C9"/>
    <w:rsid w:val="0085183E"/>
    <w:rsid w:val="00852310"/>
    <w:rsid w:val="008545B9"/>
    <w:rsid w:val="008559DF"/>
    <w:rsid w:val="0086004C"/>
    <w:rsid w:val="008657CD"/>
    <w:rsid w:val="00866794"/>
    <w:rsid w:val="00866BA5"/>
    <w:rsid w:val="0086748E"/>
    <w:rsid w:val="008705F1"/>
    <w:rsid w:val="008727DC"/>
    <w:rsid w:val="00872DFD"/>
    <w:rsid w:val="00882C9A"/>
    <w:rsid w:val="00884651"/>
    <w:rsid w:val="008B3F8B"/>
    <w:rsid w:val="008B5F3D"/>
    <w:rsid w:val="008B7087"/>
    <w:rsid w:val="008C36D5"/>
    <w:rsid w:val="008C7421"/>
    <w:rsid w:val="008D0C50"/>
    <w:rsid w:val="008D6402"/>
    <w:rsid w:val="008D73C2"/>
    <w:rsid w:val="008E5F98"/>
    <w:rsid w:val="008F24D4"/>
    <w:rsid w:val="008F686B"/>
    <w:rsid w:val="00902C31"/>
    <w:rsid w:val="00902D35"/>
    <w:rsid w:val="009038A3"/>
    <w:rsid w:val="0091238F"/>
    <w:rsid w:val="00914C8F"/>
    <w:rsid w:val="00915A27"/>
    <w:rsid w:val="009170E8"/>
    <w:rsid w:val="0092187D"/>
    <w:rsid w:val="0092216C"/>
    <w:rsid w:val="009224B3"/>
    <w:rsid w:val="009244AA"/>
    <w:rsid w:val="00932E25"/>
    <w:rsid w:val="00940306"/>
    <w:rsid w:val="00952F00"/>
    <w:rsid w:val="00956539"/>
    <w:rsid w:val="00972699"/>
    <w:rsid w:val="009737C7"/>
    <w:rsid w:val="00974D5A"/>
    <w:rsid w:val="00980055"/>
    <w:rsid w:val="009801E6"/>
    <w:rsid w:val="00981EED"/>
    <w:rsid w:val="00997D85"/>
    <w:rsid w:val="009A0D5B"/>
    <w:rsid w:val="009A430F"/>
    <w:rsid w:val="009A4525"/>
    <w:rsid w:val="009A6E25"/>
    <w:rsid w:val="009B0590"/>
    <w:rsid w:val="009B5050"/>
    <w:rsid w:val="009C1A58"/>
    <w:rsid w:val="009D4155"/>
    <w:rsid w:val="009F5DF4"/>
    <w:rsid w:val="00A01A16"/>
    <w:rsid w:val="00A023DB"/>
    <w:rsid w:val="00A03BA6"/>
    <w:rsid w:val="00A03D7C"/>
    <w:rsid w:val="00A06685"/>
    <w:rsid w:val="00A072E9"/>
    <w:rsid w:val="00A21924"/>
    <w:rsid w:val="00A316C8"/>
    <w:rsid w:val="00A41364"/>
    <w:rsid w:val="00A453D7"/>
    <w:rsid w:val="00A5785E"/>
    <w:rsid w:val="00A64864"/>
    <w:rsid w:val="00A65D75"/>
    <w:rsid w:val="00A663EF"/>
    <w:rsid w:val="00A66964"/>
    <w:rsid w:val="00A704C6"/>
    <w:rsid w:val="00A70C93"/>
    <w:rsid w:val="00A72383"/>
    <w:rsid w:val="00A75040"/>
    <w:rsid w:val="00A76AEA"/>
    <w:rsid w:val="00A7730A"/>
    <w:rsid w:val="00A9704C"/>
    <w:rsid w:val="00A97F31"/>
    <w:rsid w:val="00AA0684"/>
    <w:rsid w:val="00AA6B94"/>
    <w:rsid w:val="00AA7CA1"/>
    <w:rsid w:val="00AB78E1"/>
    <w:rsid w:val="00AC3C44"/>
    <w:rsid w:val="00AD4A8F"/>
    <w:rsid w:val="00AD78FD"/>
    <w:rsid w:val="00AE3A80"/>
    <w:rsid w:val="00AE4FEE"/>
    <w:rsid w:val="00AE5851"/>
    <w:rsid w:val="00AE740C"/>
    <w:rsid w:val="00AF4339"/>
    <w:rsid w:val="00AF7F28"/>
    <w:rsid w:val="00B039DF"/>
    <w:rsid w:val="00B06F80"/>
    <w:rsid w:val="00B13E28"/>
    <w:rsid w:val="00B3019C"/>
    <w:rsid w:val="00B33D85"/>
    <w:rsid w:val="00B443DE"/>
    <w:rsid w:val="00B612DF"/>
    <w:rsid w:val="00B64634"/>
    <w:rsid w:val="00B77AAC"/>
    <w:rsid w:val="00B839CC"/>
    <w:rsid w:val="00B8607D"/>
    <w:rsid w:val="00B96F07"/>
    <w:rsid w:val="00BA6B3F"/>
    <w:rsid w:val="00BC5F57"/>
    <w:rsid w:val="00BD32B0"/>
    <w:rsid w:val="00BD457D"/>
    <w:rsid w:val="00BE47D3"/>
    <w:rsid w:val="00BE6579"/>
    <w:rsid w:val="00BE6724"/>
    <w:rsid w:val="00BF1C37"/>
    <w:rsid w:val="00BF27B6"/>
    <w:rsid w:val="00BF51D7"/>
    <w:rsid w:val="00BF6750"/>
    <w:rsid w:val="00C0782B"/>
    <w:rsid w:val="00C34F17"/>
    <w:rsid w:val="00C369FB"/>
    <w:rsid w:val="00C40756"/>
    <w:rsid w:val="00C635A2"/>
    <w:rsid w:val="00C76259"/>
    <w:rsid w:val="00C7712F"/>
    <w:rsid w:val="00C8786E"/>
    <w:rsid w:val="00CB5DCF"/>
    <w:rsid w:val="00CC3E70"/>
    <w:rsid w:val="00CD4599"/>
    <w:rsid w:val="00CD5800"/>
    <w:rsid w:val="00CD6C68"/>
    <w:rsid w:val="00CE2299"/>
    <w:rsid w:val="00CE56A1"/>
    <w:rsid w:val="00CE5711"/>
    <w:rsid w:val="00D02183"/>
    <w:rsid w:val="00D056A3"/>
    <w:rsid w:val="00D07802"/>
    <w:rsid w:val="00D13B2D"/>
    <w:rsid w:val="00D17773"/>
    <w:rsid w:val="00D20E22"/>
    <w:rsid w:val="00D21952"/>
    <w:rsid w:val="00D22468"/>
    <w:rsid w:val="00D22B33"/>
    <w:rsid w:val="00D22F5C"/>
    <w:rsid w:val="00D25AD9"/>
    <w:rsid w:val="00D42E4A"/>
    <w:rsid w:val="00D5127C"/>
    <w:rsid w:val="00D53119"/>
    <w:rsid w:val="00D57EED"/>
    <w:rsid w:val="00D6131B"/>
    <w:rsid w:val="00D625F2"/>
    <w:rsid w:val="00D63F2C"/>
    <w:rsid w:val="00D67075"/>
    <w:rsid w:val="00D85988"/>
    <w:rsid w:val="00D92BFC"/>
    <w:rsid w:val="00D9599A"/>
    <w:rsid w:val="00D97051"/>
    <w:rsid w:val="00DA1A2D"/>
    <w:rsid w:val="00DA2DD6"/>
    <w:rsid w:val="00DA750F"/>
    <w:rsid w:val="00DF1D53"/>
    <w:rsid w:val="00E06A33"/>
    <w:rsid w:val="00E15258"/>
    <w:rsid w:val="00E1781F"/>
    <w:rsid w:val="00E23C5E"/>
    <w:rsid w:val="00E344B3"/>
    <w:rsid w:val="00E3744A"/>
    <w:rsid w:val="00E50DD5"/>
    <w:rsid w:val="00E527AE"/>
    <w:rsid w:val="00E6547C"/>
    <w:rsid w:val="00E77AF1"/>
    <w:rsid w:val="00E866FA"/>
    <w:rsid w:val="00E90A64"/>
    <w:rsid w:val="00E967C0"/>
    <w:rsid w:val="00EA0880"/>
    <w:rsid w:val="00EC0E0F"/>
    <w:rsid w:val="00EC1A3F"/>
    <w:rsid w:val="00EC2F6B"/>
    <w:rsid w:val="00ED73AD"/>
    <w:rsid w:val="00EE5144"/>
    <w:rsid w:val="00EF5869"/>
    <w:rsid w:val="00F05F3C"/>
    <w:rsid w:val="00F066B0"/>
    <w:rsid w:val="00F102A1"/>
    <w:rsid w:val="00F128B5"/>
    <w:rsid w:val="00F21DD3"/>
    <w:rsid w:val="00F2369F"/>
    <w:rsid w:val="00F23BF6"/>
    <w:rsid w:val="00F24C5F"/>
    <w:rsid w:val="00F254DE"/>
    <w:rsid w:val="00F266DE"/>
    <w:rsid w:val="00F3442B"/>
    <w:rsid w:val="00F367B7"/>
    <w:rsid w:val="00F44863"/>
    <w:rsid w:val="00F57819"/>
    <w:rsid w:val="00F6307C"/>
    <w:rsid w:val="00F7304A"/>
    <w:rsid w:val="00F9064C"/>
    <w:rsid w:val="00F9274A"/>
    <w:rsid w:val="00F94797"/>
    <w:rsid w:val="00FA0B17"/>
    <w:rsid w:val="00FB560E"/>
    <w:rsid w:val="00FC6B1F"/>
    <w:rsid w:val="00FD7573"/>
    <w:rsid w:val="00FE1C8C"/>
    <w:rsid w:val="00FF2BF0"/>
    <w:rsid w:val="00FF33D6"/>
    <w:rsid w:val="00FF7314"/>
    <w:rsid w:val="10B23B91"/>
    <w:rsid w:val="11757122"/>
    <w:rsid w:val="1DDE28C8"/>
    <w:rsid w:val="21E533C4"/>
    <w:rsid w:val="234B0FCD"/>
    <w:rsid w:val="4A69168F"/>
    <w:rsid w:val="558745B7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styleId="7">
    <w:name w:val="page number"/>
    <w:basedOn w:val="5"/>
    <w:uiPriority w:val="99"/>
  </w:style>
  <w:style w:type="character" w:styleId="8">
    <w:name w:val="Hyperlink"/>
    <w:basedOn w:val="5"/>
    <w:qFormat/>
    <w:uiPriority w:val="99"/>
    <w:rPr>
      <w:color w:val="0000FF"/>
      <w:u w:val="single"/>
    </w:rPr>
  </w:style>
  <w:style w:type="character" w:customStyle="1" w:styleId="10">
    <w:name w:val="页脚 Char"/>
    <w:basedOn w:val="5"/>
    <w:link w:val="3"/>
    <w:semiHidden/>
    <w:locked/>
    <w:uiPriority w:val="99"/>
    <w:rPr>
      <w:sz w:val="18"/>
      <w:szCs w:val="18"/>
    </w:rPr>
  </w:style>
  <w:style w:type="character" w:customStyle="1" w:styleId="11">
    <w:name w:val="批注框文本 Char"/>
    <w:basedOn w:val="5"/>
    <w:link w:val="2"/>
    <w:semiHidden/>
    <w:qFormat/>
    <w:locked/>
    <w:uiPriority w:val="99"/>
    <w:rPr>
      <w:sz w:val="2"/>
      <w:szCs w:val="2"/>
    </w:rPr>
  </w:style>
  <w:style w:type="character" w:customStyle="1" w:styleId="12">
    <w:name w:val="页眉 Char"/>
    <w:basedOn w:val="5"/>
    <w:link w:val="4"/>
    <w:locked/>
    <w:uiPriority w:val="99"/>
    <w:rPr>
      <w:kern w:val="2"/>
      <w:sz w:val="18"/>
      <w:szCs w:val="18"/>
    </w:rPr>
  </w:style>
  <w:style w:type="paragraph" w:customStyle="1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jwk</Company>
  <Pages>7</Pages>
  <Words>921</Words>
  <Characters>5250</Characters>
  <Lines>43</Lines>
  <Paragraphs>12</Paragraphs>
  <ScaleCrop>false</ScaleCrop>
  <LinksUpToDate>false</LinksUpToDate>
  <CharactersWithSpaces>6159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2016-03-09T06:40:00Z</dcterms:created>
  <dc:creator>hzpigeon</dc:creator>
  <cp:lastModifiedBy>zxn</cp:lastModifiedBy>
  <cp:lastPrinted>2015-07-02T01:48:00Z</cp:lastPrinted>
  <dcterms:modified xsi:type="dcterms:W3CDTF">2016-03-16T05:37:55Z</dcterms:modified>
  <dc:title>关于全校32门课程试卷命题和阅卷质量抽测情况通报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